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A8AB4E" w14:textId="671ACEC7" w:rsidR="00AE5EE0" w:rsidRPr="00C637D8" w:rsidRDefault="0089035D" w:rsidP="00C637D8">
      <w:pPr>
        <w:jc w:val="center"/>
        <w:rPr>
          <w:b/>
          <w:bCs/>
          <w:sz w:val="28"/>
          <w:szCs w:val="28"/>
        </w:rPr>
      </w:pPr>
      <w:r w:rsidRPr="00C637D8">
        <w:rPr>
          <w:b/>
          <w:bCs/>
          <w:sz w:val="28"/>
          <w:szCs w:val="28"/>
        </w:rPr>
        <w:t xml:space="preserve">Talking about Long-duration </w:t>
      </w:r>
      <w:r w:rsidR="006F628E">
        <w:rPr>
          <w:b/>
          <w:bCs/>
          <w:sz w:val="28"/>
          <w:szCs w:val="28"/>
        </w:rPr>
        <w:t xml:space="preserve">Energy </w:t>
      </w:r>
      <w:r w:rsidRPr="00C637D8">
        <w:rPr>
          <w:b/>
          <w:bCs/>
          <w:sz w:val="28"/>
          <w:szCs w:val="28"/>
        </w:rPr>
        <w:t>Storage</w:t>
      </w:r>
    </w:p>
    <w:p w14:paraId="589F23D6" w14:textId="6C2E9EFB" w:rsidR="0089035D" w:rsidRDefault="0089035D"/>
    <w:p w14:paraId="1E935D95" w14:textId="210ACEA2" w:rsidR="004921F7" w:rsidRDefault="0089035D" w:rsidP="004921F7">
      <w:r>
        <w:t xml:space="preserve">As countries, companies, and utilities </w:t>
      </w:r>
      <w:r w:rsidR="00224839">
        <w:t>set</w:t>
      </w:r>
      <w:r>
        <w:t xml:space="preserve"> targets to decarbonize the grid, it is clear that it will be useful to have a range of storage options to provide power when solar and wind electricity is not available.</w:t>
      </w:r>
      <w:r w:rsidR="00C704F5">
        <w:t xml:space="preserve"> </w:t>
      </w:r>
      <w:r w:rsidR="000E3ED7">
        <w:t>Most agree</w:t>
      </w:r>
      <w:r>
        <w:t xml:space="preserve"> that long-duration storage will be a </w:t>
      </w:r>
      <w:r w:rsidR="000E3ED7">
        <w:t>useful</w:t>
      </w:r>
      <w:r>
        <w:t xml:space="preserve"> element of a decarbonized grid, but questions often arise about </w:t>
      </w:r>
      <w:r w:rsidR="00C671D1">
        <w:t>what is meant by “long-duration storage.” While pumped hydro</w:t>
      </w:r>
      <w:r w:rsidR="00AB2DD8">
        <w:t>electricity</w:t>
      </w:r>
      <w:r w:rsidR="00C671D1">
        <w:t xml:space="preserve"> is clearly a long-duration storage technology, is biogas a</w:t>
      </w:r>
      <w:r w:rsidR="00304A51">
        <w:t>n</w:t>
      </w:r>
      <w:r w:rsidR="00C671D1">
        <w:t xml:space="preserve"> electricity-generation technology or a storage technology? Here we </w:t>
      </w:r>
      <w:r w:rsidR="00FC1994">
        <w:t>suggest clarification of terminology that may help us communicate better as well as to encourage innovation in directions that will be useful</w:t>
      </w:r>
      <w:r w:rsidR="004921F7">
        <w:t>:</w:t>
      </w:r>
    </w:p>
    <w:p w14:paraId="25AFBB60" w14:textId="77777777" w:rsidR="00A7716B" w:rsidRPr="00A7716B" w:rsidRDefault="00A7716B" w:rsidP="00D9604F">
      <w:pPr>
        <w:pStyle w:val="ListParagraph"/>
        <w:numPr>
          <w:ilvl w:val="0"/>
          <w:numId w:val="1"/>
        </w:numPr>
      </w:pPr>
      <w:r w:rsidRPr="00A7716B">
        <w:t xml:space="preserve">“Discharge duration (or time) at rated power” vs “Duration” </w:t>
      </w:r>
    </w:p>
    <w:p w14:paraId="5CE81D96" w14:textId="3F906DD1" w:rsidR="004921F7" w:rsidRDefault="004921F7" w:rsidP="00D9604F">
      <w:pPr>
        <w:pStyle w:val="ListParagraph"/>
        <w:numPr>
          <w:ilvl w:val="0"/>
          <w:numId w:val="1"/>
        </w:numPr>
      </w:pPr>
      <w:r>
        <w:t>“Short-duration“ vs “Long-duration storage</w:t>
      </w:r>
      <w:r w:rsidR="00A7716B">
        <w:t>”</w:t>
      </w:r>
    </w:p>
    <w:p w14:paraId="4FC3F9E1" w14:textId="3131F561" w:rsidR="004921F7" w:rsidRDefault="004921F7" w:rsidP="00D9604F">
      <w:pPr>
        <w:pStyle w:val="ListParagraph"/>
        <w:numPr>
          <w:ilvl w:val="0"/>
          <w:numId w:val="1"/>
        </w:numPr>
      </w:pPr>
      <w:r>
        <w:t>“Self-contained” vs “Cross-sector” long-duration storage</w:t>
      </w:r>
    </w:p>
    <w:p w14:paraId="1FC0D50C" w14:textId="62D14E50" w:rsidR="0011035B" w:rsidRDefault="004921F7" w:rsidP="004921F7">
      <w:r>
        <w:t>We address these</w:t>
      </w:r>
      <w:r w:rsidR="0011035B">
        <w:t xml:space="preserve"> and </w:t>
      </w:r>
      <w:r w:rsidR="00117107">
        <w:t xml:space="preserve">then </w:t>
      </w:r>
      <w:r>
        <w:t>use that better understanding to gain perspective on</w:t>
      </w:r>
      <w:r w:rsidR="00117107">
        <w:t xml:space="preserve"> </w:t>
      </w:r>
      <w:r>
        <w:t xml:space="preserve">the roles of </w:t>
      </w:r>
      <w:r w:rsidR="00FC1994">
        <w:t xml:space="preserve">energy </w:t>
      </w:r>
      <w:r>
        <w:t>storage in creating a reliable decarbonized grid.</w:t>
      </w:r>
      <w:r w:rsidR="00C704F5">
        <w:t xml:space="preserve"> </w:t>
      </w:r>
    </w:p>
    <w:p w14:paraId="5D7F565E" w14:textId="50094852" w:rsidR="00C671D1" w:rsidRDefault="00C671D1"/>
    <w:p w14:paraId="058C0617" w14:textId="3863507C" w:rsidR="0011035B" w:rsidRPr="0011035B" w:rsidRDefault="00A7716B" w:rsidP="0011035B">
      <w:pPr>
        <w:rPr>
          <w:b/>
          <w:bCs/>
        </w:rPr>
      </w:pPr>
      <w:r>
        <w:rPr>
          <w:b/>
          <w:bCs/>
        </w:rPr>
        <w:t xml:space="preserve">“Discharge duration (or time) at rated power” </w:t>
      </w:r>
      <w:r w:rsidR="0011035B" w:rsidRPr="0011035B">
        <w:rPr>
          <w:b/>
          <w:bCs/>
        </w:rPr>
        <w:t>vs “</w:t>
      </w:r>
      <w:r>
        <w:rPr>
          <w:b/>
          <w:bCs/>
        </w:rPr>
        <w:t>D</w:t>
      </w:r>
      <w:r w:rsidR="0011035B" w:rsidRPr="0011035B">
        <w:rPr>
          <w:b/>
          <w:bCs/>
        </w:rPr>
        <w:t>uration”</w:t>
      </w:r>
      <w:r>
        <w:rPr>
          <w:b/>
          <w:bCs/>
        </w:rPr>
        <w:t xml:space="preserve"> </w:t>
      </w:r>
    </w:p>
    <w:p w14:paraId="0F28579F" w14:textId="33D923AC" w:rsidR="0011035B" w:rsidRDefault="0011035B"/>
    <w:p w14:paraId="2C3A5693" w14:textId="24C7ABE7" w:rsidR="0011035B" w:rsidRDefault="0011035B">
      <w:r>
        <w:t xml:space="preserve">Electricity storage is accomplished by converting electricity to </w:t>
      </w:r>
      <w:r w:rsidR="00304A51">
        <w:t>a</w:t>
      </w:r>
      <w:r>
        <w:t xml:space="preserve"> form of energy that is stored </w:t>
      </w:r>
      <w:r w:rsidR="001001D1">
        <w:t>in an energy reservoir and then later converted back to electricity as shown in Fig. 1. In the case of a pumped hydroelectric system, the stored energy (</w:t>
      </w:r>
      <w:r w:rsidR="00983B73">
        <w:t xml:space="preserve">assumed to be </w:t>
      </w:r>
      <w:r w:rsidR="001001D1" w:rsidRPr="001001D1">
        <w:rPr>
          <w:i/>
          <w:iCs/>
        </w:rPr>
        <w:t>x</w:t>
      </w:r>
      <w:r w:rsidR="001001D1">
        <w:t xml:space="preserve"> MWh) is a function of the size of the reservoir and the head</w:t>
      </w:r>
      <w:r w:rsidR="00983B73">
        <w:t>,</w:t>
      </w:r>
      <w:r w:rsidR="001001D1">
        <w:t xml:space="preserve"> and the rate of discharge depends on the size of the turbines (</w:t>
      </w:r>
      <w:r w:rsidR="00983B73">
        <w:t xml:space="preserve">assumed to be </w:t>
      </w:r>
      <w:r w:rsidR="001001D1" w:rsidRPr="001001D1">
        <w:rPr>
          <w:i/>
          <w:iCs/>
        </w:rPr>
        <w:t>y</w:t>
      </w:r>
      <w:r w:rsidR="001001D1">
        <w:t xml:space="preserve"> MW). If the discharge (conversion of the stored energy to electricity) is done at the </w:t>
      </w:r>
      <w:r w:rsidR="006504DA">
        <w:t>rated power</w:t>
      </w:r>
      <w:r w:rsidR="001001D1">
        <w:t xml:space="preserve"> (</w:t>
      </w:r>
      <w:r w:rsidR="001001D1" w:rsidRPr="001001D1">
        <w:rPr>
          <w:i/>
          <w:iCs/>
        </w:rPr>
        <w:t>y</w:t>
      </w:r>
      <w:r w:rsidR="001001D1">
        <w:t xml:space="preserve"> MW), then the </w:t>
      </w:r>
      <w:r w:rsidR="00D9604F">
        <w:t>minimum</w:t>
      </w:r>
      <w:r w:rsidR="00A7716B">
        <w:t xml:space="preserve"> </w:t>
      </w:r>
      <w:r w:rsidR="00D9604F">
        <w:t>discharge</w:t>
      </w:r>
      <w:r w:rsidR="00A7716B">
        <w:t xml:space="preserve"> </w:t>
      </w:r>
      <w:r w:rsidR="00D9604F">
        <w:t xml:space="preserve">duration </w:t>
      </w:r>
      <w:r w:rsidR="001001D1">
        <w:t>is calculated from the ratio of the energy in the reservoir (</w:t>
      </w:r>
      <w:r w:rsidR="001001D1" w:rsidRPr="001001D1">
        <w:rPr>
          <w:i/>
          <w:iCs/>
        </w:rPr>
        <w:t>x</w:t>
      </w:r>
      <w:r w:rsidR="001001D1">
        <w:t xml:space="preserve"> MWh) to the rated power of the discharge system (</w:t>
      </w:r>
      <w:r w:rsidR="001001D1" w:rsidRPr="001001D1">
        <w:rPr>
          <w:i/>
          <w:iCs/>
        </w:rPr>
        <w:t>y</w:t>
      </w:r>
      <w:r w:rsidR="001001D1">
        <w:t xml:space="preserve"> MW) or </w:t>
      </w:r>
      <w:r w:rsidR="001001D1" w:rsidRPr="001001D1">
        <w:rPr>
          <w:i/>
          <w:iCs/>
        </w:rPr>
        <w:t>x/y</w:t>
      </w:r>
      <w:r w:rsidR="001001D1">
        <w:t xml:space="preserve"> hours.</w:t>
      </w:r>
      <w:r w:rsidR="00C704F5">
        <w:t xml:space="preserve"> </w:t>
      </w:r>
      <w:r w:rsidR="001001D1">
        <w:t xml:space="preserve">If the storage is discharged at a power that is less than the rated power, the time of discharge </w:t>
      </w:r>
      <w:r w:rsidR="00983B73">
        <w:t>will</w:t>
      </w:r>
      <w:r w:rsidR="001001D1">
        <w:t xml:space="preserve"> be longer. While the ratio of the size of</w:t>
      </w:r>
      <w:r w:rsidR="00743D21">
        <w:t xml:space="preserve"> the energy reservoir to the discharge power should be called the</w:t>
      </w:r>
      <w:r w:rsidR="00A43C61">
        <w:t xml:space="preserve"> “discharge duration at rated power”</w:t>
      </w:r>
      <w:r w:rsidR="00743D21">
        <w:t xml:space="preserve">, it is often referred to as the </w:t>
      </w:r>
      <w:r w:rsidR="00304A51">
        <w:t>“</w:t>
      </w:r>
      <w:r w:rsidR="00743D21">
        <w:t>duration</w:t>
      </w:r>
      <w:r w:rsidR="00304A51">
        <w:t>”</w:t>
      </w:r>
      <w:r w:rsidR="00743D21">
        <w:t xml:space="preserve"> for simplicity, leading to confusion when the simplification is not well communicated.</w:t>
      </w:r>
      <w:r w:rsidR="00304A51">
        <w:rPr>
          <w:rStyle w:val="FootnoteReference"/>
        </w:rPr>
        <w:footnoteReference w:id="1"/>
      </w:r>
      <w:r w:rsidR="00743D21">
        <w:t xml:space="preserve"> </w:t>
      </w:r>
    </w:p>
    <w:p w14:paraId="3E090F83" w14:textId="4C01FAC6" w:rsidR="0011035B" w:rsidRDefault="0011035B" w:rsidP="0011035B"/>
    <w:p w14:paraId="02FE5E97" w14:textId="454FCFA6" w:rsidR="0011035B" w:rsidRDefault="00FF1632" w:rsidP="0011035B">
      <w:pPr>
        <w:jc w:val="center"/>
      </w:pPr>
      <w:r w:rsidRPr="00FF1632">
        <w:rPr>
          <w:noProof/>
        </w:rPr>
        <w:drawing>
          <wp:inline distT="0" distB="0" distL="0" distR="0" wp14:anchorId="21DDF670" wp14:editId="42E9C73A">
            <wp:extent cx="5478449" cy="17442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02965" cy="1752012"/>
                    </a:xfrm>
                    <a:prstGeom prst="rect">
                      <a:avLst/>
                    </a:prstGeom>
                  </pic:spPr>
                </pic:pic>
              </a:graphicData>
            </a:graphic>
          </wp:inline>
        </w:drawing>
      </w:r>
    </w:p>
    <w:p w14:paraId="5FDA126E" w14:textId="6ACE9206" w:rsidR="0011035B" w:rsidRPr="00F251E8" w:rsidRDefault="00743D21" w:rsidP="0011035B">
      <w:pPr>
        <w:rPr>
          <w:sz w:val="22"/>
          <w:szCs w:val="22"/>
        </w:rPr>
      </w:pPr>
      <w:r w:rsidRPr="00F251E8">
        <w:rPr>
          <w:sz w:val="22"/>
          <w:szCs w:val="22"/>
        </w:rPr>
        <w:t>Fig. 1. Defining the “</w:t>
      </w:r>
      <w:r w:rsidR="00D9604F" w:rsidRPr="00F251E8">
        <w:rPr>
          <w:sz w:val="22"/>
          <w:szCs w:val="22"/>
        </w:rPr>
        <w:t>discharge</w:t>
      </w:r>
      <w:r w:rsidR="00F93470">
        <w:rPr>
          <w:sz w:val="22"/>
          <w:szCs w:val="22"/>
        </w:rPr>
        <w:t xml:space="preserve"> </w:t>
      </w:r>
      <w:r w:rsidR="00D9604F" w:rsidRPr="00F251E8">
        <w:rPr>
          <w:sz w:val="22"/>
          <w:szCs w:val="22"/>
        </w:rPr>
        <w:t>duration</w:t>
      </w:r>
      <w:r w:rsidR="00A43C61">
        <w:rPr>
          <w:sz w:val="22"/>
          <w:szCs w:val="22"/>
        </w:rPr>
        <w:t xml:space="preserve"> at rated power</w:t>
      </w:r>
      <w:r w:rsidRPr="00F251E8">
        <w:rPr>
          <w:sz w:val="22"/>
          <w:szCs w:val="22"/>
        </w:rPr>
        <w:t>,” which is often referred to as “duration”</w:t>
      </w:r>
    </w:p>
    <w:p w14:paraId="655574B2" w14:textId="5AD00F20" w:rsidR="00743D21" w:rsidRDefault="00743D21" w:rsidP="0011035B"/>
    <w:p w14:paraId="7AE12ABE" w14:textId="7A204272" w:rsidR="00743D21" w:rsidRDefault="0085232A" w:rsidP="0011035B">
      <w:r>
        <w:t>Instead of saying “long-duration storage” it would be more precise to say, “</w:t>
      </w:r>
      <w:r w:rsidR="00FF1632">
        <w:t>long-discharge-time-at-rated-power</w:t>
      </w:r>
      <w:r>
        <w:t xml:space="preserve"> storage.” </w:t>
      </w:r>
      <w:r w:rsidR="00F9792B">
        <w:t>Preferred use</w:t>
      </w:r>
      <w:r>
        <w:t xml:space="preserve"> for the shorter phrase is understandable, but can be a point of confusion</w:t>
      </w:r>
      <w:r w:rsidR="00221C79">
        <w:t xml:space="preserve"> especially when discussion of</w:t>
      </w:r>
      <w:r w:rsidR="00983B73">
        <w:t xml:space="preserve"> the actual discharge time</w:t>
      </w:r>
      <w:r w:rsidR="00221C79">
        <w:t xml:space="preserve"> is mixed with discussion of the </w:t>
      </w:r>
      <w:r w:rsidR="00FF1632">
        <w:t xml:space="preserve">rated </w:t>
      </w:r>
      <w:r w:rsidR="00221C79">
        <w:t>duration time. For example</w:t>
      </w:r>
      <w:r>
        <w:t>, a 1 kWh/1 kW battery may be discharged over 1 hour, or over 10 hours, or even over 100 hours</w:t>
      </w:r>
      <w:r w:rsidR="00F9792B">
        <w:t xml:space="preserve"> if the rate of discharge is slowed enough</w:t>
      </w:r>
      <w:r>
        <w:t>.</w:t>
      </w:r>
      <w:r w:rsidR="00C704F5">
        <w:t xml:space="preserve"> </w:t>
      </w:r>
      <w:r w:rsidR="00221C79">
        <w:t>This leads to the common question of whether we can use a large number of 1-hour batteries to meet our long-duration storage needs, discussed next.</w:t>
      </w:r>
    </w:p>
    <w:p w14:paraId="0DDEB1B4" w14:textId="658B9FB8" w:rsidR="00743D21" w:rsidRDefault="00743D21" w:rsidP="0011035B"/>
    <w:p w14:paraId="605CEC8C" w14:textId="11E2909B" w:rsidR="0085232A" w:rsidRPr="0040610A" w:rsidRDefault="0085232A" w:rsidP="0085232A">
      <w:pPr>
        <w:rPr>
          <w:b/>
          <w:bCs/>
        </w:rPr>
      </w:pPr>
      <w:r w:rsidRPr="0040610A">
        <w:rPr>
          <w:b/>
          <w:bCs/>
        </w:rPr>
        <w:t>“Short-duration“ vs “Long-duration</w:t>
      </w:r>
      <w:r w:rsidR="006504DA">
        <w:rPr>
          <w:b/>
          <w:bCs/>
        </w:rPr>
        <w:t>”</w:t>
      </w:r>
      <w:r w:rsidRPr="0040610A">
        <w:rPr>
          <w:b/>
          <w:bCs/>
        </w:rPr>
        <w:t xml:space="preserve"> storage</w:t>
      </w:r>
    </w:p>
    <w:p w14:paraId="387B300F" w14:textId="68EF7D99" w:rsidR="0085232A" w:rsidRDefault="0085232A" w:rsidP="0011035B"/>
    <w:p w14:paraId="6B20E2CF" w14:textId="415EAA80" w:rsidR="00D6577C" w:rsidRDefault="003D33EE" w:rsidP="0011035B">
      <w:r>
        <w:t xml:space="preserve">Short-duration storage is often considered to be able to deliver rated power for 4 hours or less, </w:t>
      </w:r>
      <w:r w:rsidR="001B1FC9">
        <w:t>providing support through times of peak demand. Storage with longer duration is needed to complement the daytime generation that solar provides.</w:t>
      </w:r>
      <w:r>
        <w:t xml:space="preserve"> </w:t>
      </w:r>
      <w:r w:rsidR="001B1FC9">
        <w:t>Storage with very large energy reservoirs may cycle infrequently, implying that a very low cost must be associated with the large energy reservoir.</w:t>
      </w:r>
      <w:r w:rsidR="001B1FC9" w:rsidRPr="001B1FC9">
        <w:t xml:space="preserve"> </w:t>
      </w:r>
      <w:r w:rsidR="001B1FC9">
        <w:t>For</w:t>
      </w:r>
      <w:r w:rsidR="001B1FC9">
        <w:t xml:space="preserve"> example, </w:t>
      </w:r>
      <w:r w:rsidR="001B1FC9">
        <w:t>the cost of the energy reservoir for</w:t>
      </w:r>
      <w:r w:rsidR="001B1FC9">
        <w:t xml:space="preserve"> a pumped hydro plant</w:t>
      </w:r>
      <w:r w:rsidR="001B1FC9">
        <w:t xml:space="preserve"> may be relatively small when considered on a per kWh basis. The cost of the pumped hydro plant may be broken into two parts with</w:t>
      </w:r>
      <w:r w:rsidR="001B1FC9">
        <w:t xml:space="preserve"> the upfront cost estimated by the sum of the costs of the water reservoir ($/kWh) and the turbines ($/kW).</w:t>
      </w:r>
      <w:r w:rsidR="001B1FC9">
        <w:t xml:space="preserve"> In such a case, we may estimate the cost per unit of energy </w:t>
      </w:r>
      <w:r w:rsidR="00D6577C">
        <w:t>for a storage system</w:t>
      </w:r>
      <w:r w:rsidR="00BA0E95">
        <w:t xml:space="preserve"> </w:t>
      </w:r>
      <w:r w:rsidR="003E0827">
        <w:t xml:space="preserve">as a function of </w:t>
      </w:r>
      <w:r w:rsidR="00BB6622">
        <w:t xml:space="preserve">the cost of the first kW, </w:t>
      </w:r>
      <w:r w:rsidR="00BB6622" w:rsidRPr="00BB6622">
        <w:rPr>
          <w:i/>
          <w:iCs/>
        </w:rPr>
        <w:t>Initial cost</w:t>
      </w:r>
      <w:r w:rsidR="00BB6622">
        <w:t>,</w:t>
      </w:r>
      <w:r w:rsidR="00BB6622">
        <w:t xml:space="preserve"> </w:t>
      </w:r>
      <w:r w:rsidR="003E0827">
        <w:t xml:space="preserve">the </w:t>
      </w:r>
      <w:r w:rsidR="00D9604F">
        <w:t>discharge</w:t>
      </w:r>
      <w:r w:rsidR="001B1FC9">
        <w:t xml:space="preserve"> </w:t>
      </w:r>
      <w:r w:rsidR="00D9604F">
        <w:t xml:space="preserve">duration </w:t>
      </w:r>
      <w:r w:rsidR="001B1FC9">
        <w:t>at rated power</w:t>
      </w:r>
      <w:r w:rsidR="00D6577C">
        <w:t xml:space="preserve">, </w:t>
      </w:r>
      <w:r w:rsidR="00D6577C" w:rsidRPr="00D6577C">
        <w:rPr>
          <w:i/>
          <w:iCs/>
        </w:rPr>
        <w:t>Duration</w:t>
      </w:r>
      <w:r w:rsidR="00D6577C">
        <w:t>,</w:t>
      </w:r>
      <w:r w:rsidR="00BB6622">
        <w:t xml:space="preserve"> and</w:t>
      </w:r>
      <w:r w:rsidR="00B16ED6">
        <w:t xml:space="preserve"> </w:t>
      </w:r>
      <w:r w:rsidR="00BB6622">
        <w:t xml:space="preserve">the marginal cost of expansion of the energy reservoir, </w:t>
      </w:r>
      <w:r w:rsidR="00BB6622" w:rsidRPr="00BB6622">
        <w:rPr>
          <w:i/>
          <w:iCs/>
        </w:rPr>
        <w:t>Marginal cost</w:t>
      </w:r>
      <w:r w:rsidR="00BB6622">
        <w:t>, as shown in</w:t>
      </w:r>
      <w:r w:rsidR="00D6577C">
        <w:t xml:space="preserve"> equation (1),</w:t>
      </w:r>
      <w:r w:rsidR="00286123">
        <w:t xml:space="preserve"> </w:t>
      </w:r>
    </w:p>
    <w:p w14:paraId="1F2FD4EE" w14:textId="77777777" w:rsidR="00920833" w:rsidRDefault="00920833" w:rsidP="0011035B"/>
    <w:p w14:paraId="04F67EFF" w14:textId="34A754B2" w:rsidR="00D6577C" w:rsidRDefault="009C7A69" w:rsidP="0011035B">
      <w:pPr>
        <w:rPr>
          <w:rFonts w:eastAsiaTheme="minorEastAsia"/>
        </w:rPr>
      </w:pPr>
      <m:oMath>
        <m:r>
          <w:rPr>
            <w:rFonts w:ascii="Cambria Math" w:hAnsi="Cambria Math"/>
          </w:rPr>
          <m:t xml:space="preserve">Cost per energy unit </m:t>
        </m:r>
        <m:d>
          <m:dPr>
            <m:ctrlPr>
              <w:rPr>
                <w:rFonts w:ascii="Cambria Math" w:hAnsi="Cambria Math"/>
                <w:i/>
              </w:rPr>
            </m:ctrlPr>
          </m:dPr>
          <m:e>
            <m:f>
              <m:fPr>
                <m:ctrlPr>
                  <w:rPr>
                    <w:rFonts w:ascii="Cambria Math" w:hAnsi="Cambria Math"/>
                    <w:i/>
                  </w:rPr>
                </m:ctrlPr>
              </m:fPr>
              <m:num>
                <m:r>
                  <w:rPr>
                    <w:rFonts w:ascii="Cambria Math" w:hAnsi="Cambria Math"/>
                  </w:rPr>
                  <m:t>$</m:t>
                </m:r>
              </m:num>
              <m:den>
                <m:r>
                  <w:rPr>
                    <w:rFonts w:ascii="Cambria Math" w:hAnsi="Cambria Math"/>
                  </w:rPr>
                  <m:t>kWh</m:t>
                </m:r>
              </m:den>
            </m:f>
          </m:e>
        </m:d>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 xml:space="preserve">Initial cost </m:t>
                </m:r>
                <m:d>
                  <m:dPr>
                    <m:ctrlPr>
                      <w:rPr>
                        <w:rFonts w:ascii="Cambria Math" w:hAnsi="Cambria Math"/>
                        <w:i/>
                      </w:rPr>
                    </m:ctrlPr>
                  </m:dPr>
                  <m:e>
                    <m:f>
                      <m:fPr>
                        <m:ctrlPr>
                          <w:rPr>
                            <w:rFonts w:ascii="Cambria Math" w:hAnsi="Cambria Math"/>
                            <w:i/>
                          </w:rPr>
                        </m:ctrlPr>
                      </m:fPr>
                      <m:num>
                        <m:r>
                          <w:rPr>
                            <w:rFonts w:ascii="Cambria Math" w:hAnsi="Cambria Math"/>
                          </w:rPr>
                          <m:t>$</m:t>
                        </m:r>
                      </m:num>
                      <m:den>
                        <m:r>
                          <w:rPr>
                            <w:rFonts w:ascii="Cambria Math" w:hAnsi="Cambria Math"/>
                          </w:rPr>
                          <m:t>kW</m:t>
                        </m:r>
                      </m:den>
                    </m:f>
                  </m:e>
                </m:d>
                <m:r>
                  <w:rPr>
                    <w:rFonts w:ascii="Cambria Math" w:hAnsi="Cambria Math"/>
                  </w:rPr>
                  <m:t>+Duration</m:t>
                </m:r>
                <m:d>
                  <m:dPr>
                    <m:ctrlPr>
                      <w:rPr>
                        <w:rFonts w:ascii="Cambria Math" w:hAnsi="Cambria Math"/>
                        <w:i/>
                      </w:rPr>
                    </m:ctrlPr>
                  </m:dPr>
                  <m:e>
                    <m:r>
                      <w:rPr>
                        <w:rFonts w:ascii="Cambria Math" w:hAnsi="Cambria Math"/>
                      </w:rPr>
                      <m:t>h</m:t>
                    </m:r>
                  </m:e>
                </m:d>
                <m:r>
                  <w:rPr>
                    <w:rFonts w:ascii="Cambria Math" w:hAnsi="Cambria Math"/>
                  </w:rPr>
                  <m:t>*</m:t>
                </m:r>
                <m:r>
                  <w:rPr>
                    <w:rFonts w:ascii="Cambria Math" w:hAnsi="Cambria Math"/>
                  </w:rPr>
                  <m:t>Marginal cost</m:t>
                </m:r>
                <m:d>
                  <m:dPr>
                    <m:ctrlPr>
                      <w:rPr>
                        <w:rFonts w:ascii="Cambria Math" w:hAnsi="Cambria Math"/>
                        <w:i/>
                      </w:rPr>
                    </m:ctrlPr>
                  </m:dPr>
                  <m:e>
                    <m:f>
                      <m:fPr>
                        <m:ctrlPr>
                          <w:rPr>
                            <w:rFonts w:ascii="Cambria Math" w:hAnsi="Cambria Math"/>
                            <w:i/>
                          </w:rPr>
                        </m:ctrlPr>
                      </m:fPr>
                      <m:num>
                        <m:r>
                          <w:rPr>
                            <w:rFonts w:ascii="Cambria Math" w:hAnsi="Cambria Math"/>
                          </w:rPr>
                          <m:t>$</m:t>
                        </m:r>
                      </m:num>
                      <m:den>
                        <m:r>
                          <w:rPr>
                            <w:rFonts w:ascii="Cambria Math" w:hAnsi="Cambria Math"/>
                          </w:rPr>
                          <m:t>kWh</m:t>
                        </m:r>
                      </m:den>
                    </m:f>
                  </m:e>
                </m:d>
              </m:e>
            </m:d>
          </m:num>
          <m:den>
            <m:r>
              <w:rPr>
                <w:rFonts w:ascii="Cambria Math" w:hAnsi="Cambria Math"/>
              </w:rPr>
              <m:t>Duration(h)</m:t>
            </m:r>
          </m:den>
        </m:f>
        <m:r>
          <w:rPr>
            <w:rFonts w:ascii="Cambria Math" w:hAnsi="Cambria Math"/>
          </w:rPr>
          <m:t xml:space="preserve"> </m:t>
        </m:r>
      </m:oMath>
      <w:r w:rsidR="00D6577C">
        <w:rPr>
          <w:rFonts w:eastAsiaTheme="minorEastAsia"/>
        </w:rPr>
        <w:tab/>
      </w:r>
      <w:r w:rsidR="00D6577C">
        <w:rPr>
          <w:rFonts w:eastAsiaTheme="minorEastAsia"/>
        </w:rPr>
        <w:tab/>
        <w:t>(1)</w:t>
      </w:r>
    </w:p>
    <w:p w14:paraId="23DE0C20" w14:textId="77777777" w:rsidR="00920833" w:rsidRDefault="00920833" w:rsidP="0011035B">
      <w:pPr>
        <w:rPr>
          <w:rFonts w:eastAsiaTheme="minorEastAsia"/>
        </w:rPr>
      </w:pPr>
    </w:p>
    <w:p w14:paraId="6135D6B5" w14:textId="0B6B9D42" w:rsidR="00483506" w:rsidRDefault="00483506" w:rsidP="0011035B">
      <w:r>
        <w:t xml:space="preserve">For lithium ion batteries, equation (1) </w:t>
      </w:r>
      <w:r>
        <w:t>may</w:t>
      </w:r>
      <w:r>
        <w:t xml:space="preserve"> be </w:t>
      </w:r>
      <w:r>
        <w:t>applied</w:t>
      </w:r>
      <w:r>
        <w:t xml:space="preserve"> by assuming that the initial cost is the cost of the first kWh of battery plus the cost of </w:t>
      </w:r>
      <w:r w:rsidR="00327198">
        <w:t>an</w:t>
      </w:r>
      <w:r>
        <w:t xml:space="preserve"> inverter to convert 1 kW of DC to 1 kW of AC. Then, the marginal cost would </w:t>
      </w:r>
      <w:r w:rsidR="00327198">
        <w:t>add</w:t>
      </w:r>
      <w:r>
        <w:t xml:space="preserve"> batteries that could be connected</w:t>
      </w:r>
      <w:r w:rsidR="00327198">
        <w:t xml:space="preserve"> </w:t>
      </w:r>
      <w:r>
        <w:t>to the</w:t>
      </w:r>
      <w:r w:rsidR="00327198">
        <w:t xml:space="preserve"> same</w:t>
      </w:r>
      <w:r>
        <w:t xml:space="preserve"> inverter.</w:t>
      </w:r>
    </w:p>
    <w:p w14:paraId="2660372F" w14:textId="77777777" w:rsidR="00483506" w:rsidRDefault="00483506" w:rsidP="0011035B"/>
    <w:p w14:paraId="0B1D34EC" w14:textId="3B4DDAE2" w:rsidR="00D9604F" w:rsidRDefault="00BB6622" w:rsidP="0011035B">
      <w:r>
        <w:rPr>
          <w:rFonts w:eastAsiaTheme="minorEastAsia"/>
        </w:rPr>
        <w:t>Fig. 2</w:t>
      </w:r>
      <w:r w:rsidR="00A714E8">
        <w:rPr>
          <w:rFonts w:eastAsiaTheme="minorEastAsia"/>
        </w:rPr>
        <w:t xml:space="preserve"> </w:t>
      </w:r>
      <w:r w:rsidR="00483506">
        <w:rPr>
          <w:rFonts w:eastAsiaTheme="minorEastAsia"/>
        </w:rPr>
        <w:t>contrasts</w:t>
      </w:r>
      <w:r w:rsidR="00A714E8">
        <w:rPr>
          <w:rFonts w:eastAsiaTheme="minorEastAsia"/>
        </w:rPr>
        <w:t xml:space="preserve"> </w:t>
      </w:r>
      <w:r w:rsidR="00483506">
        <w:rPr>
          <w:rFonts w:eastAsiaTheme="minorEastAsia"/>
        </w:rPr>
        <w:t>the cost per kWh for</w:t>
      </w:r>
      <w:r w:rsidR="00327198">
        <w:rPr>
          <w:rFonts w:eastAsiaTheme="minorEastAsia"/>
        </w:rPr>
        <w:t xml:space="preserve"> hypothetical</w:t>
      </w:r>
      <w:r w:rsidR="00483506">
        <w:rPr>
          <w:rFonts w:eastAsiaTheme="minorEastAsia"/>
        </w:rPr>
        <w:t xml:space="preserve"> </w:t>
      </w:r>
      <w:r w:rsidR="00327198">
        <w:rPr>
          <w:rFonts w:eastAsiaTheme="minorEastAsia"/>
        </w:rPr>
        <w:t>storage</w:t>
      </w:r>
      <w:r w:rsidR="00483506">
        <w:rPr>
          <w:rFonts w:eastAsiaTheme="minorEastAsia"/>
        </w:rPr>
        <w:t xml:space="preserve"> systems</w:t>
      </w:r>
      <w:r>
        <w:rPr>
          <w:rFonts w:eastAsiaTheme="minorEastAsia"/>
        </w:rPr>
        <w:t>.</w:t>
      </w:r>
      <w:r w:rsidR="00483506">
        <w:rPr>
          <w:rFonts w:eastAsiaTheme="minorEastAsia"/>
        </w:rPr>
        <w:t xml:space="preserve"> The black curve shows a system for which the </w:t>
      </w:r>
      <w:r w:rsidR="00327198">
        <w:rPr>
          <w:rFonts w:eastAsiaTheme="minorEastAsia"/>
          <w:i/>
          <w:iCs/>
        </w:rPr>
        <w:t>I</w:t>
      </w:r>
      <w:r w:rsidR="00483506" w:rsidRPr="00327198">
        <w:rPr>
          <w:rFonts w:eastAsiaTheme="minorEastAsia"/>
          <w:i/>
          <w:iCs/>
        </w:rPr>
        <w:t>nitial cost</w:t>
      </w:r>
      <w:r w:rsidR="00483506">
        <w:rPr>
          <w:rFonts w:eastAsiaTheme="minorEastAsia"/>
        </w:rPr>
        <w:t xml:space="preserve"> is twice that of the system represented by the red curve, but the </w:t>
      </w:r>
      <w:r w:rsidR="00327198" w:rsidRPr="00327198">
        <w:rPr>
          <w:rFonts w:eastAsiaTheme="minorEastAsia"/>
          <w:i/>
          <w:iCs/>
        </w:rPr>
        <w:t>M</w:t>
      </w:r>
      <w:r w:rsidR="00483506" w:rsidRPr="00327198">
        <w:rPr>
          <w:rFonts w:eastAsiaTheme="minorEastAsia"/>
          <w:i/>
          <w:iCs/>
        </w:rPr>
        <w:t>arginal cost</w:t>
      </w:r>
      <w:r w:rsidR="00483506">
        <w:rPr>
          <w:rFonts w:eastAsiaTheme="minorEastAsia"/>
        </w:rPr>
        <w:t xml:space="preserve"> for expanding the energy reservoir is much lower</w:t>
      </w:r>
      <w:r w:rsidR="00327198">
        <w:rPr>
          <w:rFonts w:eastAsiaTheme="minorEastAsia"/>
        </w:rPr>
        <w:t>, as labeled</w:t>
      </w:r>
      <w:r w:rsidR="00483506">
        <w:rPr>
          <w:rFonts w:eastAsiaTheme="minorEastAsia"/>
        </w:rPr>
        <w:t>.</w:t>
      </w:r>
      <w:r w:rsidR="00D6577C">
        <w:rPr>
          <w:rFonts w:eastAsiaTheme="minorEastAsia"/>
        </w:rPr>
        <w:t xml:space="preserve"> </w:t>
      </w:r>
      <w:r w:rsidR="00483506">
        <w:rPr>
          <w:rFonts w:eastAsiaTheme="minorEastAsia"/>
        </w:rPr>
        <w:t>For long</w:t>
      </w:r>
      <w:r w:rsidR="00327198">
        <w:rPr>
          <w:rFonts w:eastAsiaTheme="minorEastAsia"/>
        </w:rPr>
        <w:t>-</w:t>
      </w:r>
      <w:r w:rsidR="00483506">
        <w:rPr>
          <w:rFonts w:eastAsiaTheme="minorEastAsia"/>
        </w:rPr>
        <w:t xml:space="preserve">duration applications, the </w:t>
      </w:r>
      <w:r w:rsidR="00327198">
        <w:rPr>
          <w:rFonts w:eastAsiaTheme="minorEastAsia"/>
          <w:i/>
          <w:iCs/>
        </w:rPr>
        <w:t>M</w:t>
      </w:r>
      <w:r w:rsidR="00483506" w:rsidRPr="00327198">
        <w:rPr>
          <w:rFonts w:eastAsiaTheme="minorEastAsia"/>
          <w:i/>
          <w:iCs/>
        </w:rPr>
        <w:t>arginal cost</w:t>
      </w:r>
      <w:r w:rsidR="00483506">
        <w:rPr>
          <w:rFonts w:eastAsiaTheme="minorEastAsia"/>
        </w:rPr>
        <w:t xml:space="preserve"> of the energy reservoir is most important, while for short-duration applications, the </w:t>
      </w:r>
      <w:r w:rsidR="00483506" w:rsidRPr="00327198">
        <w:rPr>
          <w:rFonts w:eastAsiaTheme="minorEastAsia"/>
          <w:i/>
          <w:iCs/>
        </w:rPr>
        <w:t>Initial cost</w:t>
      </w:r>
      <w:r w:rsidR="00483506">
        <w:rPr>
          <w:rFonts w:eastAsiaTheme="minorEastAsia"/>
        </w:rPr>
        <w:t xml:space="preserve"> is more important</w:t>
      </w:r>
      <w:r w:rsidR="00B16ED6">
        <w:t xml:space="preserve">. </w:t>
      </w:r>
      <w:r w:rsidR="00327198">
        <w:t xml:space="preserve">If both the </w:t>
      </w:r>
      <w:r w:rsidR="00327198" w:rsidRPr="00327198">
        <w:rPr>
          <w:i/>
          <w:iCs/>
        </w:rPr>
        <w:t>Initial cost</w:t>
      </w:r>
      <w:r w:rsidR="00327198">
        <w:t xml:space="preserve"> and the </w:t>
      </w:r>
      <w:r w:rsidR="00327198" w:rsidRPr="00327198">
        <w:rPr>
          <w:i/>
          <w:iCs/>
        </w:rPr>
        <w:t>Marginal cost</w:t>
      </w:r>
      <w:r w:rsidR="00327198">
        <w:t xml:space="preserve"> are low, that technology may be applicable for a wide range of applications.</w:t>
      </w:r>
    </w:p>
    <w:p w14:paraId="7D5A055E" w14:textId="2188D1F8" w:rsidR="00E034F4" w:rsidRDefault="00C704F5" w:rsidP="0011035B">
      <w:r>
        <w:t xml:space="preserve"> </w:t>
      </w:r>
    </w:p>
    <w:p w14:paraId="46B241BB" w14:textId="3117B76C" w:rsidR="0085232A" w:rsidRDefault="00A714E8" w:rsidP="00A714E8">
      <w:pPr>
        <w:jc w:val="center"/>
      </w:pPr>
      <w:r w:rsidRPr="00A714E8">
        <w:lastRenderedPageBreak/>
        <w:drawing>
          <wp:inline distT="0" distB="0" distL="0" distR="0" wp14:anchorId="6D49A118" wp14:editId="61EBEFA0">
            <wp:extent cx="3079655" cy="162169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91779" cy="1628076"/>
                    </a:xfrm>
                    <a:prstGeom prst="rect">
                      <a:avLst/>
                    </a:prstGeom>
                  </pic:spPr>
                </pic:pic>
              </a:graphicData>
            </a:graphic>
          </wp:inline>
        </w:drawing>
      </w:r>
    </w:p>
    <w:p w14:paraId="42A87E85" w14:textId="2869B05A" w:rsidR="00660A2C" w:rsidRPr="00F251E8" w:rsidRDefault="00660A2C" w:rsidP="0011035B">
      <w:pPr>
        <w:rPr>
          <w:sz w:val="22"/>
          <w:szCs w:val="22"/>
        </w:rPr>
      </w:pPr>
      <w:r w:rsidRPr="00F251E8">
        <w:rPr>
          <w:sz w:val="22"/>
          <w:szCs w:val="22"/>
        </w:rPr>
        <w:t xml:space="preserve">Fig. 2. Comparison of cost as a function of the </w:t>
      </w:r>
      <w:r w:rsidR="00D9604F" w:rsidRPr="00F251E8">
        <w:rPr>
          <w:sz w:val="22"/>
          <w:szCs w:val="22"/>
        </w:rPr>
        <w:t>discharge</w:t>
      </w:r>
      <w:r w:rsidR="00483506">
        <w:rPr>
          <w:sz w:val="22"/>
          <w:szCs w:val="22"/>
        </w:rPr>
        <w:t xml:space="preserve"> </w:t>
      </w:r>
      <w:r w:rsidR="00D9604F" w:rsidRPr="00F251E8">
        <w:rPr>
          <w:sz w:val="22"/>
          <w:szCs w:val="22"/>
        </w:rPr>
        <w:t xml:space="preserve">duration </w:t>
      </w:r>
      <w:r w:rsidR="00483506">
        <w:rPr>
          <w:sz w:val="22"/>
          <w:szCs w:val="22"/>
        </w:rPr>
        <w:t>at rated power</w:t>
      </w:r>
      <w:r w:rsidRPr="00F251E8">
        <w:rPr>
          <w:sz w:val="22"/>
          <w:szCs w:val="22"/>
        </w:rPr>
        <w:t xml:space="preserve"> for</w:t>
      </w:r>
      <w:r w:rsidR="00483506">
        <w:rPr>
          <w:sz w:val="22"/>
          <w:szCs w:val="22"/>
        </w:rPr>
        <w:t xml:space="preserve"> two </w:t>
      </w:r>
      <w:r w:rsidR="00327198">
        <w:rPr>
          <w:sz w:val="22"/>
          <w:szCs w:val="22"/>
        </w:rPr>
        <w:t>hypothetical 1-kW storage systems</w:t>
      </w:r>
      <w:r w:rsidRPr="00F251E8">
        <w:rPr>
          <w:sz w:val="22"/>
          <w:szCs w:val="22"/>
        </w:rPr>
        <w:t>.</w:t>
      </w:r>
    </w:p>
    <w:p w14:paraId="0072F1F6" w14:textId="54B92BC7" w:rsidR="00F31298" w:rsidRDefault="00F31298" w:rsidP="0011035B"/>
    <w:p w14:paraId="36B5C402" w14:textId="762D620E" w:rsidR="00D9604F" w:rsidRDefault="00D9604F" w:rsidP="0011035B"/>
    <w:p w14:paraId="3CBDA65B" w14:textId="7CA4F864" w:rsidR="0011035B" w:rsidRPr="0011035B" w:rsidRDefault="0011035B" w:rsidP="0011035B">
      <w:pPr>
        <w:rPr>
          <w:b/>
          <w:bCs/>
        </w:rPr>
      </w:pPr>
      <w:r w:rsidRPr="0011035B">
        <w:rPr>
          <w:b/>
          <w:bCs/>
        </w:rPr>
        <w:t>“Self-contained” vs “Cross-sector” long-duration storage</w:t>
      </w:r>
    </w:p>
    <w:p w14:paraId="7A6EF9C9" w14:textId="77777777" w:rsidR="0011035B" w:rsidRDefault="0011035B"/>
    <w:p w14:paraId="479C1D7E" w14:textId="51BE5A9D" w:rsidR="00AB2DD8" w:rsidRDefault="00AB2DD8">
      <w:r>
        <w:t xml:space="preserve">We propose two </w:t>
      </w:r>
      <w:r w:rsidR="00920833">
        <w:t>categories</w:t>
      </w:r>
      <w:r>
        <w:t xml:space="preserve"> of long-duration storage: “self-contained” and </w:t>
      </w:r>
      <w:commentRangeStart w:id="0"/>
      <w:r>
        <w:t>“cross-sector”</w:t>
      </w:r>
      <w:commentRangeEnd w:id="0"/>
      <w:r w:rsidR="00CD0005">
        <w:rPr>
          <w:rStyle w:val="CommentReference"/>
        </w:rPr>
        <w:commentReference w:id="0"/>
      </w:r>
      <w:r>
        <w:t xml:space="preserve"> long-duration storage, as shown in Fig. </w:t>
      </w:r>
      <w:r w:rsidR="00AA18A2">
        <w:t>3</w:t>
      </w:r>
      <w:r>
        <w:t xml:space="preserve">. </w:t>
      </w:r>
      <w:r w:rsidR="004E4AA8">
        <w:t>The self-contained category of long-duration storage is easiest to understand</w:t>
      </w:r>
      <w:r w:rsidR="000C3655">
        <w:t xml:space="preserve"> and ha</w:t>
      </w:r>
      <w:r w:rsidR="003E70C8">
        <w:t>s</w:t>
      </w:r>
      <w:r w:rsidR="000C3655">
        <w:t xml:space="preserve"> been </w:t>
      </w:r>
      <w:r w:rsidR="003E70C8">
        <w:t>described</w:t>
      </w:r>
      <w:r w:rsidR="000C3655">
        <w:t xml:space="preserve"> above.</w:t>
      </w:r>
      <w:r w:rsidR="004E4AA8">
        <w:t xml:space="preserve"> </w:t>
      </w:r>
      <w:r w:rsidR="000C3655">
        <w:t>T</w:t>
      </w:r>
      <w:r w:rsidR="004E4AA8">
        <w:t>hese systems use surplus electricity to store energy in a reservoir. The system later converts the stored energy back to electricity.</w:t>
      </w:r>
      <w:r w:rsidR="00C704F5">
        <w:t xml:space="preserve"> </w:t>
      </w:r>
      <w:r w:rsidR="00B228DC">
        <w:t xml:space="preserve"> </w:t>
      </w:r>
    </w:p>
    <w:p w14:paraId="4A54C21A" w14:textId="77777777" w:rsidR="00AB2DD8" w:rsidRDefault="00AB2DD8"/>
    <w:p w14:paraId="1B55EB4C" w14:textId="094CFA62" w:rsidR="00AB2DD8" w:rsidRDefault="00562C05" w:rsidP="004E4AA8">
      <w:pPr>
        <w:jc w:val="center"/>
      </w:pPr>
      <w:r w:rsidRPr="00562C05">
        <w:drawing>
          <wp:inline distT="0" distB="0" distL="0" distR="0" wp14:anchorId="692E2F61" wp14:editId="75B16B75">
            <wp:extent cx="5943600" cy="25831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583180"/>
                    </a:xfrm>
                    <a:prstGeom prst="rect">
                      <a:avLst/>
                    </a:prstGeom>
                  </pic:spPr>
                </pic:pic>
              </a:graphicData>
            </a:graphic>
          </wp:inline>
        </w:drawing>
      </w:r>
    </w:p>
    <w:p w14:paraId="60A5D556" w14:textId="0254A609" w:rsidR="004E4AA8" w:rsidRPr="00F251E8" w:rsidRDefault="004E4AA8" w:rsidP="000C3655">
      <w:pPr>
        <w:jc w:val="both"/>
        <w:rPr>
          <w:sz w:val="22"/>
          <w:szCs w:val="22"/>
        </w:rPr>
      </w:pPr>
      <w:r w:rsidRPr="00F251E8">
        <w:rPr>
          <w:sz w:val="22"/>
          <w:szCs w:val="22"/>
        </w:rPr>
        <w:t xml:space="preserve">Fig. </w:t>
      </w:r>
      <w:r w:rsidR="00AA18A2" w:rsidRPr="00F251E8">
        <w:rPr>
          <w:sz w:val="22"/>
          <w:szCs w:val="22"/>
        </w:rPr>
        <w:t>3</w:t>
      </w:r>
      <w:r w:rsidRPr="00F251E8">
        <w:rPr>
          <w:sz w:val="22"/>
          <w:szCs w:val="22"/>
        </w:rPr>
        <w:t xml:space="preserve">. Schematic </w:t>
      </w:r>
      <w:r w:rsidR="00D9604F" w:rsidRPr="00F251E8">
        <w:rPr>
          <w:sz w:val="22"/>
          <w:szCs w:val="22"/>
        </w:rPr>
        <w:t>describing</w:t>
      </w:r>
      <w:r w:rsidRPr="00F251E8">
        <w:rPr>
          <w:sz w:val="22"/>
          <w:szCs w:val="22"/>
        </w:rPr>
        <w:t xml:space="preserve"> “self-contained” </w:t>
      </w:r>
      <w:r w:rsidR="00D9604F" w:rsidRPr="00F251E8">
        <w:rPr>
          <w:sz w:val="22"/>
          <w:szCs w:val="22"/>
        </w:rPr>
        <w:t>and</w:t>
      </w:r>
      <w:r w:rsidRPr="00F251E8">
        <w:rPr>
          <w:sz w:val="22"/>
          <w:szCs w:val="22"/>
        </w:rPr>
        <w:t xml:space="preserve"> </w:t>
      </w:r>
      <w:commentRangeStart w:id="1"/>
      <w:r w:rsidRPr="00F251E8">
        <w:rPr>
          <w:sz w:val="22"/>
          <w:szCs w:val="22"/>
        </w:rPr>
        <w:t>“cross-sector” long-duration storage</w:t>
      </w:r>
      <w:commentRangeEnd w:id="1"/>
      <w:r w:rsidR="00A32F24">
        <w:rPr>
          <w:rStyle w:val="CommentReference"/>
        </w:rPr>
        <w:commentReference w:id="1"/>
      </w:r>
      <w:r w:rsidRPr="00F251E8">
        <w:rPr>
          <w:sz w:val="22"/>
          <w:szCs w:val="22"/>
        </w:rPr>
        <w:t>.</w:t>
      </w:r>
      <w:r w:rsidR="00B228DC" w:rsidRPr="00F251E8">
        <w:rPr>
          <w:sz w:val="22"/>
          <w:szCs w:val="22"/>
        </w:rPr>
        <w:t xml:space="preserve"> For the self-contained system, the </w:t>
      </w:r>
      <w:r w:rsidR="00D9604F" w:rsidRPr="00F251E8">
        <w:rPr>
          <w:sz w:val="22"/>
          <w:szCs w:val="22"/>
        </w:rPr>
        <w:t>minimum-discharge-duration time</w:t>
      </w:r>
      <w:r w:rsidR="00B228DC" w:rsidRPr="00F251E8">
        <w:rPr>
          <w:sz w:val="22"/>
          <w:szCs w:val="22"/>
        </w:rPr>
        <w:t xml:space="preserve"> can be calculated from the ratio of the size of the stored energy reservoir (MWh) to the rated power of the discharge system (MW). For the cross-sector</w:t>
      </w:r>
      <w:r w:rsidR="000C3655" w:rsidRPr="00F251E8">
        <w:rPr>
          <w:sz w:val="22"/>
          <w:szCs w:val="22"/>
        </w:rPr>
        <w:t xml:space="preserve"> long-duration storage</w:t>
      </w:r>
      <w:r w:rsidR="00B228DC" w:rsidRPr="00F251E8">
        <w:rPr>
          <w:sz w:val="22"/>
          <w:szCs w:val="22"/>
        </w:rPr>
        <w:t xml:space="preserve"> technologies the size of the stored energy reservoir may not be defined, so the </w:t>
      </w:r>
      <w:r w:rsidR="00D9604F" w:rsidRPr="00F251E8">
        <w:rPr>
          <w:sz w:val="22"/>
          <w:szCs w:val="22"/>
        </w:rPr>
        <w:t xml:space="preserve">minimum-discharge-duration time </w:t>
      </w:r>
      <w:r w:rsidR="00B228DC" w:rsidRPr="00F251E8">
        <w:rPr>
          <w:sz w:val="22"/>
          <w:szCs w:val="22"/>
        </w:rPr>
        <w:t>is undefined.</w:t>
      </w:r>
    </w:p>
    <w:p w14:paraId="40CA34AE" w14:textId="77777777" w:rsidR="00AB2DD8" w:rsidRDefault="00AB2DD8"/>
    <w:p w14:paraId="7FEA9C27" w14:textId="1F13030B" w:rsidR="0008022A" w:rsidRDefault="000C3655">
      <w:r>
        <w:t>The cross-sector category of long-duration storage</w:t>
      </w:r>
      <w:r w:rsidR="007E7FED">
        <w:t xml:space="preserve"> enables transfer of energy between the power sector and the transportation, chemical, waste-treatment, or any other sector of our industrial system. The cross-sector category</w:t>
      </w:r>
      <w:r>
        <w:t xml:space="preserve"> may be implemented in two primary </w:t>
      </w:r>
      <w:r w:rsidR="00920833">
        <w:t xml:space="preserve">types of </w:t>
      </w:r>
      <w:r>
        <w:t xml:space="preserve">ways. The first uses surplus electricity to make a useful product. The useful product could take many forms and may supply other energy sectors as in the cases of making hydrogen for fuel-cell </w:t>
      </w:r>
      <w:r>
        <w:lastRenderedPageBreak/>
        <w:t>vehicles or heat for canning tomatoes. In these cases, the energy reservoir is usually not defined</w:t>
      </w:r>
      <w:r w:rsidR="00A81598">
        <w:t xml:space="preserve"> and may take a different form</w:t>
      </w:r>
      <w:r>
        <w:t xml:space="preserve">. </w:t>
      </w:r>
      <w:r w:rsidR="00675997">
        <w:t xml:space="preserve">For example, storing fertilizer or canned tomatoes </w:t>
      </w:r>
      <w:r w:rsidR="00A81598">
        <w:t>can take the place of storing the energy needed to manufacture those products, essentially avoiding the energy storage cost altogether</w:t>
      </w:r>
      <w:r w:rsidR="00675997">
        <w:t xml:space="preserve">. The second </w:t>
      </w:r>
      <w:r w:rsidR="00A81598">
        <w:t>type of</w:t>
      </w:r>
      <w:r w:rsidR="00675997">
        <w:t xml:space="preserve"> cross-sector long-duration storage </w:t>
      </w:r>
      <w:r w:rsidR="00A81598">
        <w:t>uses</w:t>
      </w:r>
      <w:r w:rsidR="00675997">
        <w:t xml:space="preserve"> stored energy from other sectors. For example, biogas made in digesters from various waste streams </w:t>
      </w:r>
      <w:r w:rsidR="00A81598">
        <w:t xml:space="preserve">may be </w:t>
      </w:r>
      <w:r w:rsidR="00675997">
        <w:t xml:space="preserve">stored for a variety of applications. While the biogas might be used for heating, it can also be used for power generation. Large quantities of natural gas are already stored at very low cost. </w:t>
      </w:r>
      <w:r w:rsidR="00A81598">
        <w:t>For both types</w:t>
      </w:r>
      <w:r w:rsidR="00675997">
        <w:t xml:space="preserve"> of cross-sector long-duration storage the </w:t>
      </w:r>
      <w:r w:rsidR="00A81598">
        <w:t>effective</w:t>
      </w:r>
      <w:r w:rsidR="00675997">
        <w:t xml:space="preserve"> storage reservoir </w:t>
      </w:r>
      <w:r w:rsidR="00F251E8">
        <w:t>can be</w:t>
      </w:r>
      <w:r w:rsidR="00675997">
        <w:t xml:space="preserve"> quite large, </w:t>
      </w:r>
      <w:r w:rsidR="00A81598">
        <w:t xml:space="preserve">potentially </w:t>
      </w:r>
      <w:r w:rsidR="00675997">
        <w:t>enabling almost limitless storage.</w:t>
      </w:r>
    </w:p>
    <w:p w14:paraId="47A8A822" w14:textId="77777777" w:rsidR="0008022A" w:rsidRDefault="0008022A"/>
    <w:p w14:paraId="31B0A7BA" w14:textId="6EB18A9F" w:rsidR="0008022A" w:rsidRPr="0008022A" w:rsidRDefault="0008022A">
      <w:pPr>
        <w:rPr>
          <w:b/>
          <w:bCs/>
        </w:rPr>
      </w:pPr>
      <w:r w:rsidRPr="0008022A">
        <w:rPr>
          <w:b/>
          <w:bCs/>
        </w:rPr>
        <w:t>Understanding the big picture</w:t>
      </w:r>
      <w:r>
        <w:rPr>
          <w:b/>
          <w:bCs/>
        </w:rPr>
        <w:t xml:space="preserve"> for long-duration storage</w:t>
      </w:r>
    </w:p>
    <w:p w14:paraId="0BB80931" w14:textId="77777777" w:rsidR="0008022A" w:rsidRDefault="0008022A"/>
    <w:p w14:paraId="339BA4FB" w14:textId="7D1B8806" w:rsidR="00AB2DD8" w:rsidRDefault="00800C06">
      <w:r>
        <w:t>This ability to access almost limitless storage positions c</w:t>
      </w:r>
      <w:r w:rsidR="0008022A">
        <w:t>ross-sector long-duration storage assets to be essential elements of reliable grids. Self-contained long-duration storage systems will compete with</w:t>
      </w:r>
      <w:r>
        <w:t xml:space="preserve"> short-duration storage for short-duration applications and with</w:t>
      </w:r>
      <w:r w:rsidR="0008022A">
        <w:t xml:space="preserve"> cross-sector long-duration systems for </w:t>
      </w:r>
      <w:r w:rsidR="008448DA">
        <w:t>long</w:t>
      </w:r>
      <w:r>
        <w:t xml:space="preserve">-duration applications as shown schematically in </w:t>
      </w:r>
      <w:r w:rsidR="0008022A">
        <w:t xml:space="preserve">Fig. </w:t>
      </w:r>
      <w:r w:rsidR="008448DA">
        <w:t>4</w:t>
      </w:r>
      <w:r w:rsidR="0008022A">
        <w:t>.</w:t>
      </w:r>
      <w:r w:rsidR="008448DA">
        <w:t xml:space="preserve"> The value of </w:t>
      </w:r>
      <w:r>
        <w:t>each</w:t>
      </w:r>
      <w:r w:rsidR="008448DA">
        <w:t xml:space="preserve"> storage system will depend on how successfully </w:t>
      </w:r>
      <w:r>
        <w:t>it</w:t>
      </w:r>
      <w:r w:rsidR="008448DA">
        <w:t xml:space="preserve"> compete</w:t>
      </w:r>
      <w:r>
        <w:t>s for each application</w:t>
      </w:r>
      <w:r w:rsidR="008448DA">
        <w:t xml:space="preserve">. </w:t>
      </w:r>
      <w:r w:rsidR="00820D6A">
        <w:t xml:space="preserve">Ultimately, we may find that short-duration, or one of the long-duration storage approaches may be the best at meeting all of the needs, but it is more likely that the optimal solution will include all three. </w:t>
      </w:r>
    </w:p>
    <w:p w14:paraId="64A08933" w14:textId="7DBC5F29" w:rsidR="007207B3" w:rsidRDefault="007207B3"/>
    <w:p w14:paraId="3E9BAED7" w14:textId="2F0BD047" w:rsidR="007207B3" w:rsidRDefault="005115E8" w:rsidP="0008022A">
      <w:pPr>
        <w:jc w:val="center"/>
      </w:pPr>
      <w:r w:rsidRPr="005115E8">
        <w:drawing>
          <wp:inline distT="0" distB="0" distL="0" distR="0" wp14:anchorId="73420277" wp14:editId="466584CB">
            <wp:extent cx="3848100" cy="2362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48100" cy="2362200"/>
                    </a:xfrm>
                    <a:prstGeom prst="rect">
                      <a:avLst/>
                    </a:prstGeom>
                  </pic:spPr>
                </pic:pic>
              </a:graphicData>
            </a:graphic>
          </wp:inline>
        </w:drawing>
      </w:r>
    </w:p>
    <w:p w14:paraId="0D5332FE" w14:textId="3E33A287" w:rsidR="0008022A" w:rsidRPr="008448DA" w:rsidRDefault="0008022A" w:rsidP="00F251E8">
      <w:pPr>
        <w:rPr>
          <w:sz w:val="22"/>
          <w:szCs w:val="22"/>
        </w:rPr>
      </w:pPr>
      <w:r w:rsidRPr="008448DA">
        <w:rPr>
          <w:sz w:val="22"/>
          <w:szCs w:val="22"/>
        </w:rPr>
        <w:t>Fig. 4. Comparison of how short- and long-duration storage (blue shapes) are well suited to meet storage needs of different hours of duration (</w:t>
      </w:r>
      <w:commentRangeStart w:id="2"/>
      <w:r w:rsidR="00820D6A">
        <w:rPr>
          <w:sz w:val="22"/>
          <w:szCs w:val="22"/>
        </w:rPr>
        <w:t xml:space="preserve">x-axis and </w:t>
      </w:r>
      <w:r w:rsidRPr="008448DA">
        <w:rPr>
          <w:sz w:val="22"/>
          <w:szCs w:val="22"/>
        </w:rPr>
        <w:t>green strip at bottom</w:t>
      </w:r>
      <w:commentRangeEnd w:id="2"/>
      <w:r w:rsidR="00CD0005">
        <w:rPr>
          <w:rStyle w:val="CommentReference"/>
        </w:rPr>
        <w:commentReference w:id="2"/>
      </w:r>
      <w:r w:rsidRPr="008448DA">
        <w:rPr>
          <w:sz w:val="22"/>
          <w:szCs w:val="22"/>
        </w:rPr>
        <w:t>).</w:t>
      </w:r>
    </w:p>
    <w:p w14:paraId="26B49B0C" w14:textId="79ACF4F8" w:rsidR="008448DA" w:rsidRDefault="008448DA" w:rsidP="0008022A">
      <w:pPr>
        <w:jc w:val="center"/>
      </w:pPr>
    </w:p>
    <w:p w14:paraId="26C92C3A" w14:textId="016E142D" w:rsidR="00820D6A" w:rsidRDefault="008C27B3">
      <w:r>
        <w:t>Others have proposed</w:t>
      </w:r>
      <w:r w:rsidR="00903613">
        <w:t xml:space="preserve"> term</w:t>
      </w:r>
      <w:r>
        <w:t>s</w:t>
      </w:r>
      <w:r w:rsidR="00903613">
        <w:t xml:space="preserve"> </w:t>
      </w:r>
      <w:r>
        <w:t>similar to those we’ve discussed here</w:t>
      </w:r>
      <w:r w:rsidR="008448DA">
        <w:t xml:space="preserve">. </w:t>
      </w:r>
      <w:r>
        <w:t xml:space="preserve">For example, </w:t>
      </w:r>
      <w:r w:rsidR="00F11476">
        <w:t>Duke Energy</w:t>
      </w:r>
      <w:r w:rsidR="008448DA">
        <w:t xml:space="preserve"> suggest</w:t>
      </w:r>
      <w:r w:rsidR="00F11476">
        <w:t>ed</w:t>
      </w:r>
      <w:r w:rsidR="008448DA">
        <w:t xml:space="preserve"> </w:t>
      </w:r>
      <w:r w:rsidR="00F11476">
        <w:t>the term</w:t>
      </w:r>
      <w:r w:rsidR="008448DA">
        <w:t xml:space="preserve"> </w:t>
      </w:r>
      <w:r w:rsidR="00903613">
        <w:t>“</w:t>
      </w:r>
      <w:r w:rsidR="008448DA">
        <w:t>zero-</w:t>
      </w:r>
      <w:r w:rsidR="004E5480">
        <w:t>emitting</w:t>
      </w:r>
      <w:r w:rsidR="008448DA">
        <w:t>, load-following resources</w:t>
      </w:r>
      <w:r w:rsidR="00903613">
        <w:t>”</w:t>
      </w:r>
      <w:r w:rsidR="008448DA">
        <w:t xml:space="preserve"> (ZELFR)</w:t>
      </w:r>
      <w:r w:rsidR="00F11476">
        <w:t xml:space="preserve"> while Jesse Jenkins uses “firm low carbon</w:t>
      </w:r>
      <w:r w:rsidR="00903613">
        <w:t>”</w:t>
      </w:r>
      <w:r w:rsidR="00F11476">
        <w:t xml:space="preserve"> resources</w:t>
      </w:r>
      <w:r w:rsidR="00820D6A">
        <w:t xml:space="preserve"> for the types of technologies well suited to address the seasonal challeng</w:t>
      </w:r>
      <w:commentRangeStart w:id="3"/>
      <w:r w:rsidR="00820D6A">
        <w:t>e</w:t>
      </w:r>
      <w:r w:rsidR="008448DA">
        <w:t>.</w:t>
      </w:r>
      <w:r w:rsidR="00903613">
        <w:rPr>
          <w:rStyle w:val="FootnoteReference"/>
        </w:rPr>
        <w:footnoteReference w:id="2"/>
      </w:r>
      <w:commentRangeEnd w:id="3"/>
      <w:r w:rsidR="00A32F24">
        <w:rPr>
          <w:rStyle w:val="CommentReference"/>
        </w:rPr>
        <w:commentReference w:id="3"/>
      </w:r>
      <w:r w:rsidR="00C704F5">
        <w:t xml:space="preserve"> </w:t>
      </w:r>
      <w:r w:rsidR="00903613">
        <w:t xml:space="preserve">While there is clear agreement that </w:t>
      </w:r>
      <w:r w:rsidR="00031B19">
        <w:t>we will need a solution to the seasonal challenge of grid reliability, there is uncertainty about the identity of the solution</w:t>
      </w:r>
      <w:r>
        <w:t>(s)</w:t>
      </w:r>
      <w:r w:rsidR="00031B19">
        <w:t xml:space="preserve">. </w:t>
      </w:r>
      <w:r w:rsidR="008A5AE9">
        <w:t xml:space="preserve">Duke </w:t>
      </w:r>
      <w:r w:rsidR="008A5AE9">
        <w:lastRenderedPageBreak/>
        <w:t>Energy’s definition of ZELFRs identifies “Long-duration energy storage” as one of several technologies.</w:t>
      </w:r>
      <w:r w:rsidR="008A5AE9">
        <w:rPr>
          <w:rStyle w:val="FootnoteReference"/>
        </w:rPr>
        <w:footnoteReference w:id="3"/>
      </w:r>
      <w:r w:rsidR="008A5AE9">
        <w:t xml:space="preserve"> The two most commonly cited technologies for</w:t>
      </w:r>
      <w:commentRangeStart w:id="4"/>
      <w:r w:rsidR="008A5AE9">
        <w:t xml:space="preserve"> “firm low carbon” resources are</w:t>
      </w:r>
      <w:r w:rsidR="00031B19">
        <w:t xml:space="preserve"> natural gas with carbon sequestration or nuclear </w:t>
      </w:r>
      <w:r w:rsidR="008A5AE9">
        <w:t>power</w:t>
      </w:r>
      <w:commentRangeEnd w:id="4"/>
      <w:r w:rsidR="00CD0005">
        <w:rPr>
          <w:rStyle w:val="CommentReference"/>
        </w:rPr>
        <w:commentReference w:id="4"/>
      </w:r>
      <w:r w:rsidR="00031B19">
        <w:t>.</w:t>
      </w:r>
      <w:r w:rsidR="008A5AE9">
        <w:t xml:space="preserve"> </w:t>
      </w:r>
      <w:r w:rsidR="00820D6A">
        <w:t>Cross-sector inspires many other options as well.</w:t>
      </w:r>
    </w:p>
    <w:p w14:paraId="70C097E5" w14:textId="77777777" w:rsidR="00820D6A" w:rsidRDefault="00820D6A"/>
    <w:p w14:paraId="5CCE00DC" w14:textId="3D15EF18" w:rsidR="00820D6A" w:rsidRPr="00820D6A" w:rsidRDefault="00820D6A">
      <w:pPr>
        <w:rPr>
          <w:b/>
          <w:bCs/>
        </w:rPr>
      </w:pPr>
      <w:r>
        <w:rPr>
          <w:b/>
          <w:bCs/>
        </w:rPr>
        <w:t>Why is the term cross-sector long-duration storage useful?</w:t>
      </w:r>
    </w:p>
    <w:p w14:paraId="6D30A9CA" w14:textId="77777777" w:rsidR="00820D6A" w:rsidRDefault="00820D6A"/>
    <w:p w14:paraId="29AD17F2" w14:textId="20A1F5C0" w:rsidR="00983B73" w:rsidRDefault="00820D6A">
      <w:r>
        <w:t xml:space="preserve">Self-contained long-duration storage technologies can usually be classified as being contained within the power sector. However, carbon emissions in California are currently greatest for the transportation sector. Energy is used and carbon emissions generated </w:t>
      </w:r>
      <w:r w:rsidR="00E0764E">
        <w:t xml:space="preserve">across many sectors. It’s obvious that reaching zero-carbon emissions will require addressing energy needs in all sectors. What may be less obvious is that the solutions we identify for the other sectors may be enabling for the power sector. In particular, as we explore the need for ZELFRs or “firm low carbon” resources as </w:t>
      </w:r>
      <w:r w:rsidR="008A5AE9">
        <w:t>seasonal solutions</w:t>
      </w:r>
      <w:r w:rsidR="00E0764E">
        <w:t xml:space="preserve"> it is useful to consider how energy use in the other sectors may be part of the solution. We may tackle decarbonization of the transportation sector, of chemical processing sector and of the heating sector individually, or we may consider how we might decarbonize those sectors in a way that will provide additional tools for balancing supply and demand for the electrical grid.</w:t>
      </w:r>
      <w:r w:rsidR="008A5AE9">
        <w:t xml:space="preserve"> </w:t>
      </w:r>
      <w:r w:rsidR="00E0764E">
        <w:t>The terms ZELFR and firm low carbon are useful terms, but they may not be optimal for inspiring creativity for coupling with other sectors.</w:t>
      </w:r>
      <w:r w:rsidR="008A5AE9">
        <w:t xml:space="preserve"> </w:t>
      </w:r>
      <w:r w:rsidR="00E0764E">
        <w:t>For</w:t>
      </w:r>
      <w:r w:rsidR="008A5AE9">
        <w:t xml:space="preserve"> example</w:t>
      </w:r>
      <w:r w:rsidR="00E0764E">
        <w:t>,</w:t>
      </w:r>
      <w:r w:rsidR="008A5AE9">
        <w:t xml:space="preserve"> </w:t>
      </w:r>
      <w:r w:rsidR="00E0764E">
        <w:t>on a day when the grid is facing a potential shortfall, fuel-cell trucks could provide</w:t>
      </w:r>
      <w:r w:rsidR="008A5AE9">
        <w:t xml:space="preserve"> vehicle-to-grid </w:t>
      </w:r>
      <w:r w:rsidR="00E0764E">
        <w:t>electricity using hydrogen that was generated from low-cost renewable electricity, then stored underground with the intention of powering trucks to drive across the country</w:t>
      </w:r>
      <w:r w:rsidR="008A5AE9">
        <w:t xml:space="preserve">. </w:t>
      </w:r>
      <w:commentRangeStart w:id="5"/>
      <w:r w:rsidR="008A5AE9">
        <w:t>If trucks end up using hydrogen</w:t>
      </w:r>
      <w:r w:rsidR="00226FFA">
        <w:t>-electric power trains</w:t>
      </w:r>
      <w:r w:rsidR="00D04F57">
        <w:t>, the trucks would need very little additional hardware to provide electricity to the grid while the driver sleeps</w:t>
      </w:r>
      <w:commentRangeEnd w:id="5"/>
      <w:r w:rsidR="00A32F24">
        <w:rPr>
          <w:rStyle w:val="CommentReference"/>
        </w:rPr>
        <w:commentReference w:id="5"/>
      </w:r>
      <w:r w:rsidR="00D04F57">
        <w:t xml:space="preserve">, effectively providing a zero-carbon </w:t>
      </w:r>
      <w:proofErr w:type="spellStart"/>
      <w:r w:rsidR="00D04F57">
        <w:t>peaker</w:t>
      </w:r>
      <w:proofErr w:type="spellEnd"/>
      <w:r w:rsidR="00D04F57">
        <w:t xml:space="preserve"> plant on wheels. Would such a solution be best labeled a ZELFR, </w:t>
      </w:r>
      <w:commentRangeStart w:id="6"/>
      <w:r w:rsidR="00D04F57">
        <w:t>firm low-carbon resource</w:t>
      </w:r>
      <w:commentRangeEnd w:id="6"/>
      <w:r w:rsidR="00A32F24">
        <w:rPr>
          <w:rStyle w:val="CommentReference"/>
        </w:rPr>
        <w:commentReference w:id="6"/>
      </w:r>
      <w:r w:rsidR="00D04F57">
        <w:t xml:space="preserve">, or cross-sector long-duration storage? We </w:t>
      </w:r>
      <w:r w:rsidR="008C27B3">
        <w:t>propose the term “cross-sector long-duration storage” as an all-encompassing term that</w:t>
      </w:r>
      <w:r w:rsidR="00D04F57">
        <w:t xml:space="preserve"> </w:t>
      </w:r>
      <w:r w:rsidR="008C27B3">
        <w:t xml:space="preserve">includes both ZELFR and firm low carbon resources while </w:t>
      </w:r>
      <w:r w:rsidR="00D04F57">
        <w:t>emphasiz</w:t>
      </w:r>
      <w:r w:rsidR="008C27B3">
        <w:t>ing the benefit of</w:t>
      </w:r>
      <w:r w:rsidR="00D04F57">
        <w:t xml:space="preserve"> “cross-sector” coupling</w:t>
      </w:r>
      <w:r w:rsidR="00E3500D">
        <w:t>, motivating innovation as the decarbonization technologies are developed for all sectors</w:t>
      </w:r>
      <w:r w:rsidR="008C27B3">
        <w:t>. A fully decarbonized grid may eventually intertwine electricity generation and storage with many</w:t>
      </w:r>
      <w:r w:rsidR="00CB1DB7">
        <w:t xml:space="preserve"> other types of infrastructure</w:t>
      </w:r>
      <w:r w:rsidR="008C27B3">
        <w:t>.</w:t>
      </w:r>
      <w:r w:rsidR="00D04F57">
        <w:t xml:space="preserve"> </w:t>
      </w:r>
      <w:r w:rsidR="00CB1DB7" w:rsidRPr="005F615B">
        <w:rPr>
          <w:i/>
          <w:iCs/>
        </w:rPr>
        <w:t>We hope our proposal for the term “cross-sector long-duration storage</w:t>
      </w:r>
      <w:r w:rsidR="005F615B">
        <w:rPr>
          <w:i/>
          <w:iCs/>
        </w:rPr>
        <w:t>”</w:t>
      </w:r>
      <w:r w:rsidR="00CB1DB7" w:rsidRPr="005F615B">
        <w:rPr>
          <w:i/>
          <w:iCs/>
        </w:rPr>
        <w:t xml:space="preserve"> will inspire much </w:t>
      </w:r>
      <w:r w:rsidR="00D04F57" w:rsidRPr="005F615B">
        <w:rPr>
          <w:i/>
          <w:iCs/>
        </w:rPr>
        <w:t xml:space="preserve">creativity </w:t>
      </w:r>
      <w:r w:rsidR="00CB1DB7" w:rsidRPr="005F615B">
        <w:rPr>
          <w:i/>
          <w:iCs/>
        </w:rPr>
        <w:t>toward using</w:t>
      </w:r>
      <w:r w:rsidR="00D04F57" w:rsidRPr="005F615B">
        <w:rPr>
          <w:i/>
          <w:iCs/>
        </w:rPr>
        <w:t xml:space="preserve"> infrastructure </w:t>
      </w:r>
      <w:r w:rsidR="00CB1DB7" w:rsidRPr="005F615B">
        <w:rPr>
          <w:i/>
          <w:iCs/>
        </w:rPr>
        <w:t xml:space="preserve">from other sectors </w:t>
      </w:r>
      <w:r w:rsidR="00D04F57" w:rsidRPr="005F615B">
        <w:rPr>
          <w:i/>
          <w:iCs/>
        </w:rPr>
        <w:t xml:space="preserve">to meet grid reliability requirements for a </w:t>
      </w:r>
      <w:r w:rsidR="00CB1DB7" w:rsidRPr="005F615B">
        <w:rPr>
          <w:i/>
          <w:iCs/>
        </w:rPr>
        <w:t xml:space="preserve">cost-effective </w:t>
      </w:r>
      <w:r w:rsidR="00D04F57" w:rsidRPr="005F615B">
        <w:rPr>
          <w:i/>
          <w:iCs/>
        </w:rPr>
        <w:t>zero-carbon grid.</w:t>
      </w:r>
      <w:r w:rsidR="00C704F5">
        <w:t xml:space="preserve">  </w:t>
      </w:r>
    </w:p>
    <w:sectPr w:rsidR="00983B73" w:rsidSect="00D50AC4">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0" w:author="Michael Aziz" w:date="2021-01-17T13:52:00Z" w:initials="MJA">
    <w:p w14:paraId="654F641A" w14:textId="7B6D8611" w:rsidR="00CD0005" w:rsidRDefault="00CD0005">
      <w:pPr>
        <w:pStyle w:val="CommentText"/>
      </w:pPr>
      <w:r>
        <w:rPr>
          <w:rStyle w:val="CommentReference"/>
        </w:rPr>
        <w:annotationRef/>
      </w:r>
      <w:r>
        <w:t>Is “sector” really the technically correct term here rather than “technology” or something else?</w:t>
      </w:r>
    </w:p>
  </w:comment>
  <w:comment w:id="1" w:author="Michael Aziz" w:date="2021-01-17T14:09:00Z" w:initials="MJA">
    <w:p w14:paraId="15625329" w14:textId="2E713ABF" w:rsidR="00A32F24" w:rsidRDefault="00A32F24">
      <w:pPr>
        <w:pStyle w:val="CommentText"/>
      </w:pPr>
      <w:r>
        <w:rPr>
          <w:rStyle w:val="CommentReference"/>
        </w:rPr>
        <w:annotationRef/>
      </w:r>
      <w:r>
        <w:t>Type 2 is simply the stockpiling of conventional (including nuclear) fuel. Some additional spec is needed to make it carbon-free in the case of fossil fuel.</w:t>
      </w:r>
    </w:p>
  </w:comment>
  <w:comment w:id="2" w:author="Michael Aziz" w:date="2021-01-17T13:55:00Z" w:initials="MJA">
    <w:p w14:paraId="0CD4D385" w14:textId="2DDC64B4" w:rsidR="00CD0005" w:rsidRDefault="00CD0005">
      <w:pPr>
        <w:pStyle w:val="CommentText"/>
      </w:pPr>
      <w:r>
        <w:rPr>
          <w:rStyle w:val="CommentReference"/>
        </w:rPr>
        <w:annotationRef/>
      </w:r>
      <w:r>
        <w:t xml:space="preserve">400 </w:t>
      </w:r>
      <w:proofErr w:type="spellStart"/>
      <w:r>
        <w:t>hr</w:t>
      </w:r>
      <w:proofErr w:type="spellEnd"/>
      <w:r>
        <w:t xml:space="preserve"> is *not* seasonal storage</w:t>
      </w:r>
    </w:p>
  </w:comment>
  <w:comment w:id="3" w:author="Michael Aziz" w:date="2021-01-17T14:00:00Z" w:initials="MJA">
    <w:p w14:paraId="23179C53" w14:textId="34FC7D40" w:rsidR="00A32F24" w:rsidRDefault="00A32F24">
      <w:pPr>
        <w:pStyle w:val="CommentText"/>
      </w:pPr>
      <w:r>
        <w:rPr>
          <w:rStyle w:val="CommentReference"/>
        </w:rPr>
        <w:annotationRef/>
      </w:r>
      <w:r>
        <w:t>These don’t mean the same thing, so how can you ask people to choose between nomenclatures? Unless the question was to state a preference between different technologies rather than between nomenclatures for the same technology.</w:t>
      </w:r>
    </w:p>
  </w:comment>
  <w:comment w:id="4" w:author="Michael Aziz" w:date="2021-01-17T13:58:00Z" w:initials="MJA">
    <w:p w14:paraId="7B100BCD" w14:textId="3880C0CE" w:rsidR="00CD0005" w:rsidRDefault="00CD0005">
      <w:pPr>
        <w:pStyle w:val="CommentText"/>
      </w:pPr>
      <w:r>
        <w:rPr>
          <w:rStyle w:val="CommentReference"/>
        </w:rPr>
        <w:annotationRef/>
      </w:r>
      <w:r>
        <w:t>So “firm low carbon” is not necessarily load-following, unless you restrict nuclear to load-following nuclear. Otherwise, it’s to be curtailed like wind and PV, although firm.</w:t>
      </w:r>
    </w:p>
  </w:comment>
  <w:comment w:id="5" w:author="Michael Aziz" w:date="2021-01-17T14:06:00Z" w:initials="MJA">
    <w:p w14:paraId="555DC4F5" w14:textId="123C5EB2" w:rsidR="00A32F24" w:rsidRDefault="00A32F24">
      <w:pPr>
        <w:pStyle w:val="CommentText"/>
      </w:pPr>
      <w:r>
        <w:rPr>
          <w:rStyle w:val="CommentReference"/>
        </w:rPr>
        <w:annotationRef/>
      </w:r>
      <w:r>
        <w:t>Stopping trucking is economically costly to the truck owners. How handsomely would they have to be rewarded, and does that drive the price up to unrealistic values?</w:t>
      </w:r>
    </w:p>
  </w:comment>
  <w:comment w:id="6" w:author="Michael Aziz" w:date="2021-01-17T14:08:00Z" w:initials="MJA">
    <w:p w14:paraId="31099F51" w14:textId="54567F66" w:rsidR="00A32F24" w:rsidRDefault="00A32F24">
      <w:pPr>
        <w:pStyle w:val="CommentText"/>
      </w:pPr>
      <w:r>
        <w:rPr>
          <w:rStyle w:val="CommentReference"/>
        </w:rPr>
        <w:annotationRef/>
      </w:r>
      <w:r>
        <w:t>Not unless my understanding of the term “firm” is too restrictive.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54F641A" w15:done="0"/>
  <w15:commentEx w15:paraId="15625329" w15:done="0"/>
  <w15:commentEx w15:paraId="0CD4D385" w15:done="0"/>
  <w15:commentEx w15:paraId="23179C53" w15:done="0"/>
  <w15:commentEx w15:paraId="7B100BCD" w15:done="0"/>
  <w15:commentEx w15:paraId="555DC4F5" w15:done="0"/>
  <w15:commentEx w15:paraId="31099F5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54F641A" w16cid:durableId="23B2618A"/>
  <w16cid:commentId w16cid:paraId="15625329" w16cid:durableId="23B2618B"/>
  <w16cid:commentId w16cid:paraId="0CD4D385" w16cid:durableId="23B2618C"/>
  <w16cid:commentId w16cid:paraId="23179C53" w16cid:durableId="23B2618D"/>
  <w16cid:commentId w16cid:paraId="7B100BCD" w16cid:durableId="23B2618E"/>
  <w16cid:commentId w16cid:paraId="555DC4F5" w16cid:durableId="23B2618F"/>
  <w16cid:commentId w16cid:paraId="31099F51" w16cid:durableId="23B2619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DDCC6C" w14:textId="77777777" w:rsidR="00037ADB" w:rsidRDefault="00037ADB" w:rsidP="00903613">
      <w:r>
        <w:separator/>
      </w:r>
    </w:p>
  </w:endnote>
  <w:endnote w:type="continuationSeparator" w:id="0">
    <w:p w14:paraId="4AB93256" w14:textId="77777777" w:rsidR="00037ADB" w:rsidRDefault="00037ADB" w:rsidP="009036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1DB5BE" w14:textId="77777777" w:rsidR="00037ADB" w:rsidRDefault="00037ADB" w:rsidP="00903613">
      <w:r>
        <w:separator/>
      </w:r>
    </w:p>
  </w:footnote>
  <w:footnote w:type="continuationSeparator" w:id="0">
    <w:p w14:paraId="449DF103" w14:textId="77777777" w:rsidR="00037ADB" w:rsidRDefault="00037ADB" w:rsidP="00903613">
      <w:r>
        <w:continuationSeparator/>
      </w:r>
    </w:p>
  </w:footnote>
  <w:footnote w:id="1">
    <w:p w14:paraId="10B8F05B" w14:textId="371D6022" w:rsidR="00304A51" w:rsidRDefault="00304A51">
      <w:pPr>
        <w:pStyle w:val="FootnoteText"/>
      </w:pPr>
      <w:r>
        <w:rPr>
          <w:rStyle w:val="FootnoteReference"/>
        </w:rPr>
        <w:footnoteRef/>
      </w:r>
      <w:r>
        <w:t xml:space="preserve"> “Duration” may also specify the time the energy is stored. Storage systems that can hold many hours of stored energy are more likely to also retain that energy for longer.</w:t>
      </w:r>
      <w:r w:rsidR="00224839">
        <w:t xml:space="preserve"> Energy loss during storage may limit the time the energy may be stored.</w:t>
      </w:r>
    </w:p>
  </w:footnote>
  <w:footnote w:id="2">
    <w:p w14:paraId="7802A0EE" w14:textId="3AEABA77" w:rsidR="00903613" w:rsidRDefault="00903613">
      <w:pPr>
        <w:pStyle w:val="FootnoteText"/>
      </w:pPr>
      <w:r>
        <w:rPr>
          <w:rStyle w:val="FootnoteReference"/>
        </w:rPr>
        <w:footnoteRef/>
      </w:r>
      <w:r>
        <w:t xml:space="preserve"> Ric O’Connell did a Twitter poll in May 2020 and found that 65% of the &gt; 250 votes preferred “Firm Low Carbon” over “ZELFR.” </w:t>
      </w:r>
      <w:r w:rsidRPr="00903613">
        <w:t>https://twitter.com/ricoconnell8/status/1265786256589418497?lang=en</w:t>
      </w:r>
    </w:p>
  </w:footnote>
  <w:footnote w:id="3">
    <w:p w14:paraId="7F802D2D" w14:textId="39F0C944" w:rsidR="008A5AE9" w:rsidRDefault="008A5AE9">
      <w:pPr>
        <w:pStyle w:val="FootnoteText"/>
      </w:pPr>
      <w:r>
        <w:rPr>
          <w:rStyle w:val="FootnoteReference"/>
        </w:rPr>
        <w:footnoteRef/>
      </w:r>
      <w:r>
        <w:t xml:space="preserve"> </w:t>
      </w:r>
      <w:hyperlink r:id="rId1" w:history="1">
        <w:r w:rsidRPr="005F28FD">
          <w:rPr>
            <w:rStyle w:val="Hyperlink"/>
          </w:rPr>
          <w:t>https://www.duke-energy.com/_/media/PDFs/our-company/Climate-Report-2020.pdf</w:t>
        </w:r>
      </w:hyperlink>
      <w:r>
        <w:t>, accessed Dec. 28, 2020.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D26460"/>
    <w:multiLevelType w:val="hybridMultilevel"/>
    <w:tmpl w:val="4FAE59A0"/>
    <w:lvl w:ilvl="0" w:tplc="BEC076E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9CD680B"/>
    <w:multiLevelType w:val="hybridMultilevel"/>
    <w:tmpl w:val="7A0C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Michael Aziz">
    <w15:presenceInfo w15:providerId="Windows Live" w15:userId="bcf45ccdc54c2e6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035D"/>
    <w:rsid w:val="00031B19"/>
    <w:rsid w:val="00037ADB"/>
    <w:rsid w:val="00080084"/>
    <w:rsid w:val="0008022A"/>
    <w:rsid w:val="000C3655"/>
    <w:rsid w:val="000D4E9C"/>
    <w:rsid w:val="000E3ED7"/>
    <w:rsid w:val="001001D1"/>
    <w:rsid w:val="0011035B"/>
    <w:rsid w:val="00117107"/>
    <w:rsid w:val="00187533"/>
    <w:rsid w:val="001B1FC9"/>
    <w:rsid w:val="00206495"/>
    <w:rsid w:val="00220D8D"/>
    <w:rsid w:val="00221C79"/>
    <w:rsid w:val="00224839"/>
    <w:rsid w:val="00226FFA"/>
    <w:rsid w:val="00236E49"/>
    <w:rsid w:val="00286123"/>
    <w:rsid w:val="002E6792"/>
    <w:rsid w:val="002F39F8"/>
    <w:rsid w:val="00304A51"/>
    <w:rsid w:val="003223C7"/>
    <w:rsid w:val="00327198"/>
    <w:rsid w:val="003D33EE"/>
    <w:rsid w:val="003E0827"/>
    <w:rsid w:val="003E70C8"/>
    <w:rsid w:val="0040610A"/>
    <w:rsid w:val="00483506"/>
    <w:rsid w:val="004921F7"/>
    <w:rsid w:val="004D1EE9"/>
    <w:rsid w:val="004D3EEA"/>
    <w:rsid w:val="004E4AA8"/>
    <w:rsid w:val="004E5480"/>
    <w:rsid w:val="005115E8"/>
    <w:rsid w:val="0055668B"/>
    <w:rsid w:val="00562C05"/>
    <w:rsid w:val="00581E43"/>
    <w:rsid w:val="00595A45"/>
    <w:rsid w:val="005F615B"/>
    <w:rsid w:val="006504DA"/>
    <w:rsid w:val="00660A2C"/>
    <w:rsid w:val="00675997"/>
    <w:rsid w:val="0069132E"/>
    <w:rsid w:val="006C7412"/>
    <w:rsid w:val="006F628E"/>
    <w:rsid w:val="007207B3"/>
    <w:rsid w:val="00743D21"/>
    <w:rsid w:val="007556E5"/>
    <w:rsid w:val="00761908"/>
    <w:rsid w:val="007D5DCF"/>
    <w:rsid w:val="007E7FED"/>
    <w:rsid w:val="00800C06"/>
    <w:rsid w:val="008104A5"/>
    <w:rsid w:val="00820D6A"/>
    <w:rsid w:val="008448DA"/>
    <w:rsid w:val="0085232A"/>
    <w:rsid w:val="0089035D"/>
    <w:rsid w:val="008A5AE9"/>
    <w:rsid w:val="008C27B3"/>
    <w:rsid w:val="008C4BE1"/>
    <w:rsid w:val="00903613"/>
    <w:rsid w:val="00920833"/>
    <w:rsid w:val="00922DB2"/>
    <w:rsid w:val="00983614"/>
    <w:rsid w:val="00983B73"/>
    <w:rsid w:val="009860E1"/>
    <w:rsid w:val="009C7A69"/>
    <w:rsid w:val="00A32DD3"/>
    <w:rsid w:val="00A32F24"/>
    <w:rsid w:val="00A43C61"/>
    <w:rsid w:val="00A714E8"/>
    <w:rsid w:val="00A7716B"/>
    <w:rsid w:val="00A81598"/>
    <w:rsid w:val="00AA18A2"/>
    <w:rsid w:val="00AB1BC1"/>
    <w:rsid w:val="00AB2DD8"/>
    <w:rsid w:val="00AE5EE0"/>
    <w:rsid w:val="00B16ED6"/>
    <w:rsid w:val="00B228DC"/>
    <w:rsid w:val="00BA0E95"/>
    <w:rsid w:val="00BA7556"/>
    <w:rsid w:val="00BB1425"/>
    <w:rsid w:val="00BB5E07"/>
    <w:rsid w:val="00BB6622"/>
    <w:rsid w:val="00BD1F42"/>
    <w:rsid w:val="00BE193F"/>
    <w:rsid w:val="00C03432"/>
    <w:rsid w:val="00C637D8"/>
    <w:rsid w:val="00C671D1"/>
    <w:rsid w:val="00C704F5"/>
    <w:rsid w:val="00C91BED"/>
    <w:rsid w:val="00CB1DB7"/>
    <w:rsid w:val="00CC77E5"/>
    <w:rsid w:val="00CC7F55"/>
    <w:rsid w:val="00CD0005"/>
    <w:rsid w:val="00D04F57"/>
    <w:rsid w:val="00D14D7A"/>
    <w:rsid w:val="00D50AC4"/>
    <w:rsid w:val="00D6577C"/>
    <w:rsid w:val="00D66980"/>
    <w:rsid w:val="00D9604F"/>
    <w:rsid w:val="00D96D7A"/>
    <w:rsid w:val="00E0146A"/>
    <w:rsid w:val="00E034F4"/>
    <w:rsid w:val="00E0764E"/>
    <w:rsid w:val="00E16FBF"/>
    <w:rsid w:val="00E3500D"/>
    <w:rsid w:val="00E5670F"/>
    <w:rsid w:val="00E91E90"/>
    <w:rsid w:val="00F11476"/>
    <w:rsid w:val="00F251E8"/>
    <w:rsid w:val="00F31298"/>
    <w:rsid w:val="00F74E42"/>
    <w:rsid w:val="00F93470"/>
    <w:rsid w:val="00F9792B"/>
    <w:rsid w:val="00FC1994"/>
    <w:rsid w:val="00FE6FCB"/>
    <w:rsid w:val="00FF16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EBFE829"/>
  <w14:defaultImageDpi w14:val="32767"/>
  <w15:chartTrackingRefBased/>
  <w15:docId w15:val="{612DB571-1E4C-D842-A401-61AE6E2A9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3B73"/>
    <w:rPr>
      <w:color w:val="0563C1" w:themeColor="hyperlink"/>
      <w:u w:val="single"/>
    </w:rPr>
  </w:style>
  <w:style w:type="character" w:customStyle="1" w:styleId="UnresolvedMention1">
    <w:name w:val="Unresolved Mention1"/>
    <w:basedOn w:val="DefaultParagraphFont"/>
    <w:uiPriority w:val="99"/>
    <w:rsid w:val="00983B73"/>
    <w:rPr>
      <w:color w:val="605E5C"/>
      <w:shd w:val="clear" w:color="auto" w:fill="E1DFDD"/>
    </w:rPr>
  </w:style>
  <w:style w:type="paragraph" w:styleId="BalloonText">
    <w:name w:val="Balloon Text"/>
    <w:basedOn w:val="Normal"/>
    <w:link w:val="BalloonTextChar"/>
    <w:uiPriority w:val="99"/>
    <w:semiHidden/>
    <w:unhideWhenUsed/>
    <w:rsid w:val="007207B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207B3"/>
    <w:rPr>
      <w:rFonts w:ascii="Times New Roman" w:hAnsi="Times New Roman" w:cs="Times New Roman"/>
      <w:sz w:val="18"/>
      <w:szCs w:val="18"/>
    </w:rPr>
  </w:style>
  <w:style w:type="paragraph" w:styleId="FootnoteText">
    <w:name w:val="footnote text"/>
    <w:basedOn w:val="Normal"/>
    <w:link w:val="FootnoteTextChar"/>
    <w:uiPriority w:val="99"/>
    <w:semiHidden/>
    <w:unhideWhenUsed/>
    <w:rsid w:val="00903613"/>
    <w:rPr>
      <w:sz w:val="20"/>
      <w:szCs w:val="20"/>
    </w:rPr>
  </w:style>
  <w:style w:type="character" w:customStyle="1" w:styleId="FootnoteTextChar">
    <w:name w:val="Footnote Text Char"/>
    <w:basedOn w:val="DefaultParagraphFont"/>
    <w:link w:val="FootnoteText"/>
    <w:uiPriority w:val="99"/>
    <w:semiHidden/>
    <w:rsid w:val="00903613"/>
    <w:rPr>
      <w:sz w:val="20"/>
      <w:szCs w:val="20"/>
    </w:rPr>
  </w:style>
  <w:style w:type="character" w:styleId="FootnoteReference">
    <w:name w:val="footnote reference"/>
    <w:basedOn w:val="DefaultParagraphFont"/>
    <w:uiPriority w:val="99"/>
    <w:semiHidden/>
    <w:unhideWhenUsed/>
    <w:rsid w:val="00903613"/>
    <w:rPr>
      <w:vertAlign w:val="superscript"/>
    </w:rPr>
  </w:style>
  <w:style w:type="character" w:styleId="CommentReference">
    <w:name w:val="annotation reference"/>
    <w:basedOn w:val="DefaultParagraphFont"/>
    <w:uiPriority w:val="99"/>
    <w:semiHidden/>
    <w:unhideWhenUsed/>
    <w:rsid w:val="00304A51"/>
    <w:rPr>
      <w:sz w:val="16"/>
      <w:szCs w:val="16"/>
    </w:rPr>
  </w:style>
  <w:style w:type="paragraph" w:styleId="CommentText">
    <w:name w:val="annotation text"/>
    <w:basedOn w:val="Normal"/>
    <w:link w:val="CommentTextChar"/>
    <w:uiPriority w:val="99"/>
    <w:semiHidden/>
    <w:unhideWhenUsed/>
    <w:rsid w:val="00304A51"/>
    <w:rPr>
      <w:sz w:val="20"/>
      <w:szCs w:val="20"/>
    </w:rPr>
  </w:style>
  <w:style w:type="character" w:customStyle="1" w:styleId="CommentTextChar">
    <w:name w:val="Comment Text Char"/>
    <w:basedOn w:val="DefaultParagraphFont"/>
    <w:link w:val="CommentText"/>
    <w:uiPriority w:val="99"/>
    <w:semiHidden/>
    <w:rsid w:val="00304A51"/>
    <w:rPr>
      <w:sz w:val="20"/>
      <w:szCs w:val="20"/>
    </w:rPr>
  </w:style>
  <w:style w:type="paragraph" w:styleId="CommentSubject">
    <w:name w:val="annotation subject"/>
    <w:basedOn w:val="CommentText"/>
    <w:next w:val="CommentText"/>
    <w:link w:val="CommentSubjectChar"/>
    <w:uiPriority w:val="99"/>
    <w:semiHidden/>
    <w:unhideWhenUsed/>
    <w:rsid w:val="00304A51"/>
    <w:rPr>
      <w:b/>
      <w:bCs/>
    </w:rPr>
  </w:style>
  <w:style w:type="character" w:customStyle="1" w:styleId="CommentSubjectChar">
    <w:name w:val="Comment Subject Char"/>
    <w:basedOn w:val="CommentTextChar"/>
    <w:link w:val="CommentSubject"/>
    <w:uiPriority w:val="99"/>
    <w:semiHidden/>
    <w:rsid w:val="00304A51"/>
    <w:rPr>
      <w:b/>
      <w:bCs/>
      <w:sz w:val="20"/>
      <w:szCs w:val="20"/>
    </w:rPr>
  </w:style>
  <w:style w:type="character" w:styleId="PlaceholderText">
    <w:name w:val="Placeholder Text"/>
    <w:basedOn w:val="DefaultParagraphFont"/>
    <w:uiPriority w:val="99"/>
    <w:semiHidden/>
    <w:rsid w:val="00D6577C"/>
    <w:rPr>
      <w:color w:val="808080"/>
    </w:rPr>
  </w:style>
  <w:style w:type="paragraph" w:styleId="ListParagraph">
    <w:name w:val="List Paragraph"/>
    <w:basedOn w:val="Normal"/>
    <w:uiPriority w:val="34"/>
    <w:qFormat/>
    <w:rsid w:val="00D9604F"/>
    <w:pPr>
      <w:ind w:left="720"/>
      <w:contextualSpacing/>
    </w:pPr>
  </w:style>
  <w:style w:type="character" w:styleId="FollowedHyperlink">
    <w:name w:val="FollowedHyperlink"/>
    <w:basedOn w:val="DefaultParagraphFont"/>
    <w:uiPriority w:val="99"/>
    <w:semiHidden/>
    <w:unhideWhenUsed/>
    <w:rsid w:val="00A32F2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3.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16/09/relationships/commentsIds" Target="commentsIds.xml"/><Relationship Id="rId5" Type="http://schemas.openxmlformats.org/officeDocument/2006/relationships/footnotes" Target="footnotes.xml"/><Relationship Id="rId15" Type="http://schemas.microsoft.com/office/2011/relationships/people" Target="people.xml"/><Relationship Id="rId10" Type="http://schemas.microsoft.com/office/2011/relationships/commentsExtended" Target="commentsExtended.xml"/><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duke-energy.com/_/media/PDFs/our-company/Climate-Report-202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85</TotalTime>
  <Pages>5</Pages>
  <Words>1696</Words>
  <Characters>9673</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Kurtz</dc:creator>
  <cp:keywords/>
  <dc:description/>
  <cp:lastModifiedBy>Sarah Kurtz</cp:lastModifiedBy>
  <cp:revision>11</cp:revision>
  <dcterms:created xsi:type="dcterms:W3CDTF">2021-01-20T18:48:00Z</dcterms:created>
  <dcterms:modified xsi:type="dcterms:W3CDTF">2021-01-23T06:57:00Z</dcterms:modified>
</cp:coreProperties>
</file>