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6DD60" w14:textId="2E6F7D81" w:rsidR="00B02B37" w:rsidRDefault="00B02B37" w:rsidP="00985368">
      <w:pPr>
        <w:pStyle w:val="Heading1"/>
      </w:pPr>
      <w:commentRangeStart w:id="0"/>
      <w:r w:rsidRPr="0007312C">
        <w:t>Executive Summary</w:t>
      </w:r>
      <w:commentRangeEnd w:id="0"/>
      <w:r w:rsidR="00B13D0F">
        <w:rPr>
          <w:rStyle w:val="CommentReference"/>
          <w:rFonts w:eastAsiaTheme="minorHAnsi" w:cstheme="minorBidi"/>
          <w:b w:val="0"/>
        </w:rPr>
        <w:commentReference w:id="0"/>
      </w:r>
    </w:p>
    <w:p w14:paraId="37A3030D" w14:textId="451F3EA3" w:rsidR="00284A70" w:rsidRDefault="00284A70" w:rsidP="00284A70">
      <w:pPr>
        <w:pStyle w:val="Heading2"/>
      </w:pPr>
      <w:r>
        <w:t>Background</w:t>
      </w:r>
    </w:p>
    <w:p w14:paraId="18C4C003" w14:textId="6A4BFDB3" w:rsidR="007F7A9F" w:rsidRPr="007F7A9F" w:rsidRDefault="00EC3FC7" w:rsidP="007F7A9F">
      <w:pPr>
        <w:pStyle w:val="ListParagraph"/>
        <w:numPr>
          <w:ilvl w:val="0"/>
          <w:numId w:val="22"/>
        </w:numPr>
      </w:pPr>
      <w:r>
        <w:t xml:space="preserve">Supports California’s efforts toward SB100 goals and development of </w:t>
      </w:r>
      <w:proofErr w:type="gramStart"/>
      <w:r>
        <w:t>LDES</w:t>
      </w:r>
      <w:proofErr w:type="gramEnd"/>
    </w:p>
    <w:p w14:paraId="57595919" w14:textId="0607FCCC" w:rsidR="00284A70" w:rsidRDefault="00284A70" w:rsidP="00284A70">
      <w:pPr>
        <w:pStyle w:val="Heading2"/>
      </w:pPr>
      <w:r>
        <w:t>Project Purpose and Approach</w:t>
      </w:r>
    </w:p>
    <w:p w14:paraId="0D8F4077" w14:textId="6DB22B80" w:rsidR="007F7A9F" w:rsidRPr="007F7A9F" w:rsidRDefault="00EC3FC7" w:rsidP="007F7A9F">
      <w:pPr>
        <w:pStyle w:val="ListParagraph"/>
        <w:numPr>
          <w:ilvl w:val="0"/>
          <w:numId w:val="22"/>
        </w:numPr>
      </w:pPr>
      <w:r>
        <w:t>Understand the role of LDES and how it is affected by the assumptions we make about generation profiles, etc.</w:t>
      </w:r>
    </w:p>
    <w:p w14:paraId="6888020E" w14:textId="62969CC2" w:rsidR="00284A70" w:rsidRDefault="00284A70" w:rsidP="00284A70">
      <w:pPr>
        <w:pStyle w:val="Heading2"/>
      </w:pPr>
      <w:r>
        <w:t>Key Results</w:t>
      </w:r>
    </w:p>
    <w:p w14:paraId="2FAE4E43" w14:textId="107AC2B5" w:rsidR="007F7A9F" w:rsidRDefault="00EC3FC7" w:rsidP="007F7A9F">
      <w:pPr>
        <w:pStyle w:val="ListParagraph"/>
        <w:numPr>
          <w:ilvl w:val="0"/>
          <w:numId w:val="22"/>
        </w:numPr>
      </w:pPr>
      <w:r>
        <w:t xml:space="preserve">In many cases, </w:t>
      </w:r>
      <w:proofErr w:type="gramStart"/>
      <w:r>
        <w:t>8-12 hour</w:t>
      </w:r>
      <w:proofErr w:type="gramEnd"/>
      <w:r>
        <w:t xml:space="preserve"> duration LDES is used most frequently</w:t>
      </w:r>
      <w:r w:rsidR="008D0ACB">
        <w:t>; other durations become more useful under some circumstances, but are used less frequently</w:t>
      </w:r>
    </w:p>
    <w:p w14:paraId="692AB606" w14:textId="7491938A" w:rsidR="00EC3FC7" w:rsidRPr="007F7A9F" w:rsidRDefault="008D0ACB" w:rsidP="007F7A9F">
      <w:pPr>
        <w:pStyle w:val="ListParagraph"/>
        <w:numPr>
          <w:ilvl w:val="0"/>
          <w:numId w:val="22"/>
        </w:numPr>
      </w:pPr>
      <w:r>
        <w:t xml:space="preserve">Matching generation profile to load profile reduces needs for storage, </w:t>
      </w:r>
      <w:proofErr w:type="gramStart"/>
      <w:r>
        <w:t>but,</w:t>
      </w:r>
      <w:proofErr w:type="gramEnd"/>
      <w:r>
        <w:t xml:space="preserve"> in most cases has little effect on the duration of storage needed</w:t>
      </w:r>
    </w:p>
    <w:p w14:paraId="72A05B02" w14:textId="77777777" w:rsidR="007F7A9F" w:rsidRDefault="00284A70" w:rsidP="00284A70">
      <w:pPr>
        <w:pStyle w:val="Heading2"/>
      </w:pPr>
      <w:r>
        <w:t>Knowledge Transfer and Next Steps</w:t>
      </w:r>
    </w:p>
    <w:p w14:paraId="408773E0" w14:textId="2DD827A1" w:rsidR="00284A70" w:rsidRPr="008D0ACB" w:rsidRDefault="008D0ACB" w:rsidP="007F7A9F">
      <w:pPr>
        <w:pStyle w:val="Heading2"/>
        <w:numPr>
          <w:ilvl w:val="0"/>
          <w:numId w:val="22"/>
        </w:numPr>
        <w:rPr>
          <w:b w:val="0"/>
          <w:bCs/>
          <w:sz w:val="24"/>
          <w:szCs w:val="22"/>
        </w:rPr>
      </w:pPr>
      <w:r w:rsidRPr="008D0ACB">
        <w:rPr>
          <w:b w:val="0"/>
          <w:bCs/>
          <w:sz w:val="24"/>
          <w:szCs w:val="22"/>
        </w:rPr>
        <w:t xml:space="preserve">Results have been shared directly with CEC, with publications, presentations at conferences and through </w:t>
      </w:r>
      <w:proofErr w:type="gramStart"/>
      <w:r w:rsidRPr="008D0ACB">
        <w:rPr>
          <w:b w:val="0"/>
          <w:bCs/>
          <w:sz w:val="24"/>
          <w:szCs w:val="22"/>
        </w:rPr>
        <w:t>webinars</w:t>
      </w:r>
      <w:proofErr w:type="gramEnd"/>
    </w:p>
    <w:p w14:paraId="18615D8F" w14:textId="38AEA49B" w:rsidR="00284A70" w:rsidRDefault="00B02B37" w:rsidP="00582FC7">
      <w:pPr>
        <w:pStyle w:val="Heading1"/>
      </w:pPr>
      <w:commentRangeStart w:id="1"/>
      <w:r w:rsidRPr="0007312C">
        <w:t>Introduction</w:t>
      </w:r>
      <w:commentRangeEnd w:id="1"/>
      <w:r w:rsidR="003C7F94">
        <w:rPr>
          <w:rStyle w:val="CommentReference"/>
          <w:rFonts w:eastAsiaTheme="minorHAnsi" w:cstheme="minorBidi"/>
          <w:b w:val="0"/>
        </w:rPr>
        <w:commentReference w:id="1"/>
      </w:r>
    </w:p>
    <w:p w14:paraId="7767D0D0" w14:textId="48D8453A" w:rsidR="008D0ACB" w:rsidRPr="008D0ACB" w:rsidRDefault="008D0ACB" w:rsidP="008D0ACB">
      <w:pPr>
        <w:pStyle w:val="ListParagraph"/>
        <w:numPr>
          <w:ilvl w:val="0"/>
          <w:numId w:val="22"/>
        </w:numPr>
        <w:rPr>
          <w:rFonts w:cs="Tahoma"/>
        </w:rPr>
      </w:pPr>
      <w:r w:rsidRPr="008D0ACB">
        <w:rPr>
          <w:rFonts w:cs="Tahoma"/>
        </w:rPr>
        <w:t>Project purpose and goals</w:t>
      </w:r>
      <w:r>
        <w:rPr>
          <w:rFonts w:cs="Tahoma"/>
        </w:rPr>
        <w:t xml:space="preserve"> – understand the role of LDES and the targets that need to be met for it to be </w:t>
      </w:r>
      <w:proofErr w:type="gramStart"/>
      <w:r>
        <w:rPr>
          <w:rFonts w:cs="Tahoma"/>
        </w:rPr>
        <w:t>useful</w:t>
      </w:r>
      <w:proofErr w:type="gramEnd"/>
    </w:p>
    <w:p w14:paraId="041209B5" w14:textId="6A5961E3" w:rsidR="007F7A9F" w:rsidRPr="007F7A9F" w:rsidRDefault="008D0ACB" w:rsidP="007F7A9F">
      <w:pPr>
        <w:pStyle w:val="ListParagraph"/>
        <w:numPr>
          <w:ilvl w:val="0"/>
          <w:numId w:val="22"/>
        </w:numPr>
      </w:pPr>
      <w:r w:rsidRPr="008D0ACB">
        <w:rPr>
          <w:rFonts w:cs="Tahoma"/>
        </w:rPr>
        <w:t>Background (knowledge gaps)</w:t>
      </w:r>
      <w:r w:rsidRPr="008D0ACB">
        <w:rPr>
          <w:rFonts w:cs="Tahoma"/>
        </w:rPr>
        <w:t xml:space="preserve"> – how many hours duration, cost targets, effects of efficiency and other details on those</w:t>
      </w:r>
    </w:p>
    <w:p w14:paraId="68F9F49A" w14:textId="3F853523" w:rsidR="00B02B37" w:rsidRDefault="00B02B37" w:rsidP="00985368">
      <w:pPr>
        <w:pStyle w:val="Heading1"/>
      </w:pPr>
      <w:commentRangeStart w:id="2"/>
      <w:r w:rsidRPr="0007312C">
        <w:t>Project Approach</w:t>
      </w:r>
      <w:commentRangeEnd w:id="2"/>
      <w:r w:rsidR="003C7F94">
        <w:rPr>
          <w:rStyle w:val="CommentReference"/>
          <w:rFonts w:eastAsiaTheme="minorHAnsi" w:cstheme="minorBidi"/>
          <w:b w:val="0"/>
        </w:rPr>
        <w:commentReference w:id="2"/>
      </w:r>
    </w:p>
    <w:p w14:paraId="2E4C23B7" w14:textId="77777777" w:rsidR="00EC3FC7" w:rsidRPr="00EC3FC7" w:rsidRDefault="00EC3FC7" w:rsidP="00EC3FC7">
      <w:pPr>
        <w:ind w:left="360" w:hanging="450"/>
      </w:pPr>
      <w:r w:rsidRPr="00EC3FC7">
        <w:tab/>
        <w:t>• Project timeline and approach</w:t>
      </w:r>
    </w:p>
    <w:p w14:paraId="3A02F24E" w14:textId="77777777" w:rsidR="00EC3FC7" w:rsidRPr="00EC3FC7" w:rsidRDefault="00EC3FC7" w:rsidP="00EC3FC7">
      <w:pPr>
        <w:ind w:left="360" w:hanging="450"/>
      </w:pPr>
      <w:r w:rsidRPr="00EC3FC7">
        <w:tab/>
        <w:t xml:space="preserve">• Project partners and advisors </w:t>
      </w:r>
    </w:p>
    <w:p w14:paraId="1E167779" w14:textId="77777777" w:rsidR="00EC3FC7" w:rsidRPr="00EC3FC7" w:rsidRDefault="00EC3FC7" w:rsidP="00EC3FC7">
      <w:pPr>
        <w:ind w:left="360" w:hanging="450"/>
      </w:pPr>
      <w:r w:rsidRPr="00EC3FC7">
        <w:tab/>
        <w:t>• Core scenario description</w:t>
      </w:r>
    </w:p>
    <w:p w14:paraId="5EF22E54" w14:textId="77777777" w:rsidR="00EC3FC7" w:rsidRPr="00EC3FC7" w:rsidRDefault="00EC3FC7" w:rsidP="00EC3FC7">
      <w:pPr>
        <w:ind w:left="360" w:hanging="450"/>
      </w:pPr>
      <w:r w:rsidRPr="00EC3FC7">
        <w:tab/>
        <w:t>• Comparison of RESOLVE and SWITCH models, including LDES modeling</w:t>
      </w:r>
    </w:p>
    <w:p w14:paraId="0BE83066" w14:textId="77777777" w:rsidR="00EC3FC7" w:rsidRPr="00EC3FC7" w:rsidRDefault="00EC3FC7" w:rsidP="00EC3FC7">
      <w:pPr>
        <w:ind w:left="360" w:hanging="450"/>
      </w:pPr>
      <w:r w:rsidRPr="00EC3FC7">
        <w:tab/>
        <w:t>• Sensitivity analysis</w:t>
      </w:r>
    </w:p>
    <w:p w14:paraId="1FF347CB" w14:textId="65957166" w:rsidR="00B02B37" w:rsidRPr="00B02B37" w:rsidRDefault="00EC3FC7" w:rsidP="00EC3FC7">
      <w:pPr>
        <w:ind w:left="360" w:hanging="450"/>
        <w:rPr>
          <w:rFonts w:cs="Tahoma"/>
          <w:b/>
          <w:bCs/>
        </w:rPr>
      </w:pPr>
      <w:r>
        <w:tab/>
        <w:t>• Technology summary table with updates</w:t>
      </w:r>
    </w:p>
    <w:p w14:paraId="4B6F7283" w14:textId="74CDF2D1" w:rsidR="00EC3FC7" w:rsidRDefault="00EC3FC7" w:rsidP="00EC3FC7">
      <w:pPr>
        <w:pStyle w:val="Heading1"/>
      </w:pPr>
      <w:commentRangeStart w:id="3"/>
      <w:r>
        <w:t>Results</w:t>
      </w:r>
      <w:commentRangeEnd w:id="3"/>
      <w:r>
        <w:rPr>
          <w:rStyle w:val="CommentReference"/>
          <w:rFonts w:eastAsiaTheme="minorHAnsi" w:cstheme="minorBidi"/>
          <w:b w:val="0"/>
        </w:rPr>
        <w:commentReference w:id="3"/>
      </w:r>
    </w:p>
    <w:p w14:paraId="0D88F398" w14:textId="77777777" w:rsidR="00EC3FC7" w:rsidRDefault="00EC3FC7" w:rsidP="00EC3FC7">
      <w:pPr>
        <w:rPr>
          <w:rFonts w:cs="Tahoma"/>
        </w:rPr>
      </w:pPr>
    </w:p>
    <w:p w14:paraId="45264FDC" w14:textId="77777777" w:rsidR="00EC3FC7" w:rsidRDefault="00EC3FC7" w:rsidP="00EC3FC7">
      <w:pPr>
        <w:ind w:left="360"/>
        <w:rPr>
          <w:rFonts w:cs="Tahoma"/>
        </w:rPr>
      </w:pPr>
      <w:r>
        <w:rPr>
          <w:rFonts w:cs="Tahoma"/>
        </w:rPr>
        <w:t>• Core scenario analysis: optimal duration</w:t>
      </w:r>
    </w:p>
    <w:p w14:paraId="69D274E0" w14:textId="77777777" w:rsidR="00EC3FC7" w:rsidRDefault="00EC3FC7" w:rsidP="00EC3FC7">
      <w:pPr>
        <w:ind w:left="360" w:hanging="450"/>
        <w:rPr>
          <w:rFonts w:cs="Tahoma"/>
        </w:rPr>
      </w:pPr>
      <w:r>
        <w:rPr>
          <w:rFonts w:cs="Tahoma"/>
        </w:rPr>
        <w:tab/>
        <w:t>• Core scenario analysis: LDES adoption as function of LDES duration and efficiency for example cost assumptions</w:t>
      </w:r>
    </w:p>
    <w:p w14:paraId="49DA99EE" w14:textId="77777777" w:rsidR="00EC3FC7" w:rsidRDefault="00EC3FC7" w:rsidP="00EC3FC7">
      <w:pPr>
        <w:ind w:left="360" w:hanging="450"/>
        <w:rPr>
          <w:rFonts w:cs="Tahoma"/>
        </w:rPr>
      </w:pPr>
      <w:r>
        <w:rPr>
          <w:rFonts w:cs="Tahoma"/>
        </w:rPr>
        <w:tab/>
        <w:t xml:space="preserve">• Core scenario analysis: LDES cost targets to enter/capture market as function of LDES duration, LDES efficiency, and </w:t>
      </w:r>
      <w:proofErr w:type="gramStart"/>
      <w:r>
        <w:rPr>
          <w:rFonts w:cs="Tahoma"/>
        </w:rPr>
        <w:t>time period</w:t>
      </w:r>
      <w:proofErr w:type="gramEnd"/>
    </w:p>
    <w:p w14:paraId="62501028" w14:textId="77777777" w:rsidR="00EC3FC7" w:rsidRDefault="00EC3FC7" w:rsidP="00EC3FC7">
      <w:pPr>
        <w:ind w:left="360" w:hanging="450"/>
        <w:rPr>
          <w:rFonts w:cs="Tahoma"/>
        </w:rPr>
      </w:pPr>
      <w:r>
        <w:rPr>
          <w:rFonts w:cs="Tahoma"/>
        </w:rPr>
        <w:tab/>
        <w:t>• Impact of EV charging profiles on need/value of LDES</w:t>
      </w:r>
    </w:p>
    <w:p w14:paraId="3488C06C" w14:textId="77777777" w:rsidR="00EC3FC7" w:rsidRDefault="00EC3FC7" w:rsidP="00EC3FC7">
      <w:pPr>
        <w:ind w:left="360" w:hanging="450"/>
        <w:rPr>
          <w:rFonts w:cs="Tahoma"/>
        </w:rPr>
      </w:pPr>
      <w:r>
        <w:rPr>
          <w:rFonts w:cs="Tahoma"/>
        </w:rPr>
        <w:tab/>
        <w:t>• Impact of solar and wind generation profiles on need/value of LDES</w:t>
      </w:r>
    </w:p>
    <w:p w14:paraId="7D4ACCAB" w14:textId="77777777" w:rsidR="00EC3FC7" w:rsidRDefault="00EC3FC7" w:rsidP="00EC3FC7">
      <w:pPr>
        <w:ind w:left="360" w:hanging="450"/>
        <w:rPr>
          <w:rFonts w:cs="Tahoma"/>
        </w:rPr>
      </w:pPr>
      <w:r>
        <w:rPr>
          <w:rFonts w:cs="Tahoma"/>
        </w:rPr>
        <w:tab/>
        <w:t xml:space="preserve">• Impact of </w:t>
      </w:r>
      <w:proofErr w:type="gramStart"/>
      <w:r>
        <w:rPr>
          <w:rFonts w:cs="Tahoma"/>
        </w:rPr>
        <w:t>oxy-combustion</w:t>
      </w:r>
      <w:proofErr w:type="gramEnd"/>
      <w:r>
        <w:rPr>
          <w:rFonts w:cs="Tahoma"/>
        </w:rPr>
        <w:t xml:space="preserve"> on the need/value of LDES</w:t>
      </w:r>
    </w:p>
    <w:p w14:paraId="399AA95E" w14:textId="77777777" w:rsidR="00EC3FC7" w:rsidRDefault="00EC3FC7" w:rsidP="00EC3FC7">
      <w:pPr>
        <w:ind w:left="360" w:hanging="450"/>
        <w:rPr>
          <w:rFonts w:cs="Tahoma"/>
        </w:rPr>
      </w:pPr>
      <w:r>
        <w:rPr>
          <w:rFonts w:cs="Tahoma"/>
        </w:rPr>
        <w:tab/>
        <w:t xml:space="preserve">• Opportunity of </w:t>
      </w:r>
      <w:proofErr w:type="spellStart"/>
      <w:r>
        <w:rPr>
          <w:rFonts w:cs="Tahoma"/>
        </w:rPr>
        <w:t>electrolyzers</w:t>
      </w:r>
      <w:proofErr w:type="spellEnd"/>
      <w:r>
        <w:rPr>
          <w:rFonts w:cs="Tahoma"/>
        </w:rPr>
        <w:t xml:space="preserve"> as a flexible load coupled with LDES</w:t>
      </w:r>
    </w:p>
    <w:p w14:paraId="7D604E8A" w14:textId="77777777" w:rsidR="00EC3FC7" w:rsidRDefault="00EC3FC7" w:rsidP="00EC3FC7">
      <w:pPr>
        <w:ind w:left="360" w:hanging="450"/>
        <w:rPr>
          <w:rFonts w:cs="Tahoma"/>
        </w:rPr>
      </w:pPr>
      <w:r>
        <w:rPr>
          <w:rFonts w:cs="Tahoma"/>
        </w:rPr>
        <w:lastRenderedPageBreak/>
        <w:tab/>
        <w:t>• Interplay of storage and transmission within WECC</w:t>
      </w:r>
    </w:p>
    <w:p w14:paraId="420795BA" w14:textId="38783F3E" w:rsidR="00EC3FC7" w:rsidRDefault="00EC3FC7" w:rsidP="00EC3FC7">
      <w:pPr>
        <w:ind w:left="360" w:hanging="450"/>
        <w:rPr>
          <w:rFonts w:cs="Tahoma"/>
        </w:rPr>
      </w:pPr>
      <w:r>
        <w:rPr>
          <w:rFonts w:cs="Tahoma"/>
        </w:rPr>
        <w:tab/>
        <w:t xml:space="preserve">• </w:t>
      </w:r>
      <w:r>
        <w:rPr>
          <w:rFonts w:cs="Tahoma"/>
        </w:rPr>
        <w:t>Summary of public outreach</w:t>
      </w:r>
    </w:p>
    <w:p w14:paraId="77ADF066" w14:textId="77777777" w:rsidR="00EC3FC7" w:rsidRDefault="00EC3FC7" w:rsidP="00EC3FC7">
      <w:pPr>
        <w:ind w:left="360" w:hanging="450"/>
        <w:rPr>
          <w:rFonts w:cs="Tahoma"/>
        </w:rPr>
      </w:pPr>
    </w:p>
    <w:p w14:paraId="4F5CAF93" w14:textId="33227204" w:rsidR="00B02B37" w:rsidRDefault="00B02B37" w:rsidP="00EC3FC7">
      <w:pPr>
        <w:pStyle w:val="Heading1"/>
      </w:pPr>
      <w:commentRangeStart w:id="4"/>
      <w:r w:rsidRPr="0007312C">
        <w:t>Conclusion</w:t>
      </w:r>
      <w:commentRangeEnd w:id="4"/>
      <w:r w:rsidR="007F7A9F">
        <w:rPr>
          <w:rStyle w:val="CommentReference"/>
          <w:rFonts w:eastAsiaTheme="minorHAnsi" w:cstheme="minorBidi"/>
          <w:b w:val="0"/>
        </w:rPr>
        <w:commentReference w:id="4"/>
      </w:r>
    </w:p>
    <w:p w14:paraId="289EFB31" w14:textId="49378639" w:rsidR="0009050C" w:rsidRDefault="0009050C" w:rsidP="00262C55">
      <w:pPr>
        <w:rPr>
          <w:rFonts w:cs="Tahoma"/>
        </w:rPr>
      </w:pPr>
    </w:p>
    <w:p w14:paraId="4749E8E4" w14:textId="39A49066" w:rsidR="00E076B3" w:rsidRPr="00262C55" w:rsidRDefault="00E076B3" w:rsidP="008D0ACB">
      <w:pPr>
        <w:pStyle w:val="ListParagraph"/>
        <w:numPr>
          <w:ilvl w:val="0"/>
          <w:numId w:val="23"/>
        </w:numPr>
        <w:rPr>
          <w:rFonts w:cs="Tahoma"/>
        </w:rPr>
      </w:pPr>
      <w:proofErr w:type="gramStart"/>
      <w:r w:rsidRPr="00262C55">
        <w:rPr>
          <w:rFonts w:cs="Tahoma"/>
        </w:rPr>
        <w:t>8-12</w:t>
      </w:r>
      <w:r w:rsidR="004F4065">
        <w:rPr>
          <w:rFonts w:cs="Tahoma"/>
        </w:rPr>
        <w:t xml:space="preserve"> hour</w:t>
      </w:r>
      <w:proofErr w:type="gramEnd"/>
      <w:r w:rsidR="004F4065">
        <w:rPr>
          <w:rFonts w:cs="Tahoma"/>
        </w:rPr>
        <w:t xml:space="preserve"> duration</w:t>
      </w:r>
      <w:r w:rsidRPr="00262C55">
        <w:rPr>
          <w:rFonts w:cs="Tahoma"/>
        </w:rPr>
        <w:t xml:space="preserve"> is most useful for </w:t>
      </w:r>
      <w:r w:rsidR="004F4065">
        <w:rPr>
          <w:rFonts w:cs="Tahoma"/>
        </w:rPr>
        <w:t>California because of strong solar resource</w:t>
      </w:r>
    </w:p>
    <w:p w14:paraId="73378EE4" w14:textId="77777777" w:rsidR="004F4065" w:rsidRDefault="004F4065" w:rsidP="008D0ACB">
      <w:pPr>
        <w:pStyle w:val="ListParagraph"/>
        <w:numPr>
          <w:ilvl w:val="0"/>
          <w:numId w:val="23"/>
        </w:numPr>
        <w:rPr>
          <w:rFonts w:cs="Tahoma"/>
        </w:rPr>
      </w:pPr>
      <w:r>
        <w:rPr>
          <w:rFonts w:cs="Tahoma"/>
        </w:rPr>
        <w:t xml:space="preserve">Further cost reductions and/or technology development are needed to enable LDES to compete effectively with lithium ion </w:t>
      </w:r>
      <w:proofErr w:type="gramStart"/>
      <w:r>
        <w:rPr>
          <w:rFonts w:cs="Tahoma"/>
        </w:rPr>
        <w:t>batteries</w:t>
      </w:r>
      <w:proofErr w:type="gramEnd"/>
    </w:p>
    <w:p w14:paraId="4221FC5E" w14:textId="3667CD65" w:rsidR="00AE5EE0" w:rsidRPr="00262C55" w:rsidRDefault="004F4065" w:rsidP="008D0ACB">
      <w:pPr>
        <w:pStyle w:val="ListParagraph"/>
        <w:numPr>
          <w:ilvl w:val="0"/>
          <w:numId w:val="23"/>
        </w:numPr>
        <w:rPr>
          <w:rFonts w:cs="Tahoma"/>
        </w:rPr>
      </w:pPr>
      <w:r>
        <w:rPr>
          <w:rFonts w:cs="Tahoma"/>
        </w:rPr>
        <w:t xml:space="preserve">There are many approaches to balancing supply and demand while meeting SB100 goals. Policy actions as well as technology development will be helpful in implementing those  </w:t>
      </w:r>
    </w:p>
    <w:sectPr w:rsidR="00AE5EE0" w:rsidRPr="00262C55" w:rsidSect="00D50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unquist, Jeffrey@Energy" w:date="2023-08-15T13:20:00Z" w:initials="SJ">
    <w:p w14:paraId="123238C5" w14:textId="77777777" w:rsidR="003C7F94" w:rsidRDefault="00B13D0F">
      <w:pPr>
        <w:pStyle w:val="CommentText"/>
        <w:numPr>
          <w:ilvl w:val="0"/>
          <w:numId w:val="9"/>
        </w:numPr>
      </w:pPr>
      <w:r>
        <w:rPr>
          <w:rStyle w:val="CommentReference"/>
        </w:rPr>
        <w:annotationRef/>
      </w:r>
      <w:r w:rsidR="003C7F94">
        <w:t>1000-1200 words</w:t>
      </w:r>
    </w:p>
    <w:p w14:paraId="2BB8928B" w14:textId="77777777" w:rsidR="003C7F94" w:rsidRDefault="003C7F94">
      <w:pPr>
        <w:pStyle w:val="CommentText"/>
        <w:numPr>
          <w:ilvl w:val="0"/>
          <w:numId w:val="9"/>
        </w:numPr>
      </w:pPr>
      <w:r>
        <w:t>For general (non-technical) audience</w:t>
      </w:r>
    </w:p>
    <w:p w14:paraId="62DAA214" w14:textId="77777777" w:rsidR="003C7F94" w:rsidRDefault="003C7F94">
      <w:pPr>
        <w:pStyle w:val="CommentText"/>
        <w:numPr>
          <w:ilvl w:val="0"/>
          <w:numId w:val="9"/>
        </w:numPr>
      </w:pPr>
      <w:r>
        <w:t>Include the most important information</w:t>
      </w:r>
    </w:p>
    <w:p w14:paraId="7888D352" w14:textId="77777777" w:rsidR="003C7F94" w:rsidRDefault="003C7F94">
      <w:pPr>
        <w:pStyle w:val="CommentText"/>
        <w:numPr>
          <w:ilvl w:val="0"/>
          <w:numId w:val="9"/>
        </w:numPr>
      </w:pPr>
      <w:r>
        <w:t>Avoid acronyms</w:t>
      </w:r>
    </w:p>
    <w:p w14:paraId="1EED9664" w14:textId="77777777" w:rsidR="003C7F94" w:rsidRDefault="003C7F94" w:rsidP="00671411">
      <w:pPr>
        <w:pStyle w:val="CommentText"/>
        <w:numPr>
          <w:ilvl w:val="0"/>
          <w:numId w:val="9"/>
        </w:numPr>
      </w:pPr>
      <w:r>
        <w:t>Avoid figures</w:t>
      </w:r>
    </w:p>
  </w:comment>
  <w:comment w:id="1" w:author="Sunquist, Jeffrey@Energy" w:date="2023-08-15T13:23:00Z" w:initials="SJ">
    <w:p w14:paraId="52F1CE3D" w14:textId="77777777" w:rsidR="0007648A" w:rsidRDefault="003C7F94">
      <w:pPr>
        <w:pStyle w:val="CommentText"/>
        <w:numPr>
          <w:ilvl w:val="0"/>
          <w:numId w:val="15"/>
        </w:numPr>
      </w:pPr>
      <w:r>
        <w:rPr>
          <w:rStyle w:val="CommentReference"/>
        </w:rPr>
        <w:annotationRef/>
      </w:r>
      <w:r w:rsidR="0007648A">
        <w:t>700-800 words</w:t>
      </w:r>
    </w:p>
    <w:p w14:paraId="2181D833" w14:textId="77777777" w:rsidR="0007648A" w:rsidRDefault="0007648A">
      <w:pPr>
        <w:pStyle w:val="CommentText"/>
        <w:numPr>
          <w:ilvl w:val="0"/>
          <w:numId w:val="15"/>
        </w:numPr>
      </w:pPr>
      <w:r>
        <w:t>For target audiences</w:t>
      </w:r>
    </w:p>
    <w:p w14:paraId="0D4FCE6F" w14:textId="77777777" w:rsidR="0007648A" w:rsidRDefault="0007648A">
      <w:pPr>
        <w:pStyle w:val="CommentText"/>
        <w:numPr>
          <w:ilvl w:val="0"/>
          <w:numId w:val="15"/>
        </w:numPr>
      </w:pPr>
      <w:r>
        <w:t>Project purpose</w:t>
      </w:r>
    </w:p>
    <w:p w14:paraId="49AF2AC0" w14:textId="77777777" w:rsidR="0007648A" w:rsidRDefault="0007648A">
      <w:pPr>
        <w:pStyle w:val="CommentText"/>
        <w:numPr>
          <w:ilvl w:val="0"/>
          <w:numId w:val="15"/>
        </w:numPr>
      </w:pPr>
      <w:r>
        <w:t>Context/background</w:t>
      </w:r>
    </w:p>
    <w:p w14:paraId="6007EAF4" w14:textId="77777777" w:rsidR="0007648A" w:rsidRDefault="0007648A">
      <w:pPr>
        <w:pStyle w:val="CommentText"/>
        <w:numPr>
          <w:ilvl w:val="0"/>
          <w:numId w:val="15"/>
        </w:numPr>
      </w:pPr>
      <w:r>
        <w:t>Project goals and metrics</w:t>
      </w:r>
    </w:p>
    <w:p w14:paraId="2940416B" w14:textId="77777777" w:rsidR="0007648A" w:rsidRDefault="0007648A" w:rsidP="00912706">
      <w:pPr>
        <w:pStyle w:val="CommentText"/>
        <w:numPr>
          <w:ilvl w:val="0"/>
          <w:numId w:val="15"/>
        </w:numPr>
      </w:pPr>
      <w:r>
        <w:t>Figures OK</w:t>
      </w:r>
    </w:p>
  </w:comment>
  <w:comment w:id="2" w:author="Sunquist, Jeffrey@Energy" w:date="2023-08-15T13:24:00Z" w:initials="SJ">
    <w:p w14:paraId="0B16E7AA" w14:textId="77777777" w:rsidR="0007648A" w:rsidRDefault="003C7F94">
      <w:pPr>
        <w:pStyle w:val="CommentText"/>
        <w:numPr>
          <w:ilvl w:val="0"/>
          <w:numId w:val="16"/>
        </w:numPr>
      </w:pPr>
      <w:r>
        <w:rPr>
          <w:rStyle w:val="CommentReference"/>
        </w:rPr>
        <w:annotationRef/>
      </w:r>
      <w:r w:rsidR="0007648A">
        <w:t>2000-3000 words</w:t>
      </w:r>
    </w:p>
    <w:p w14:paraId="08C22D84" w14:textId="77777777" w:rsidR="0007648A" w:rsidRDefault="0007648A">
      <w:pPr>
        <w:pStyle w:val="CommentText"/>
        <w:numPr>
          <w:ilvl w:val="0"/>
          <w:numId w:val="16"/>
        </w:numPr>
      </w:pPr>
      <w:r>
        <w:t>Specific research objectives</w:t>
      </w:r>
    </w:p>
    <w:p w14:paraId="1C58E2BE" w14:textId="77777777" w:rsidR="0007648A" w:rsidRDefault="0007648A">
      <w:pPr>
        <w:pStyle w:val="CommentText"/>
        <w:numPr>
          <w:ilvl w:val="0"/>
          <w:numId w:val="16"/>
        </w:numPr>
      </w:pPr>
      <w:r>
        <w:t>Specific technologies</w:t>
      </w:r>
    </w:p>
    <w:p w14:paraId="18FF58EF" w14:textId="77777777" w:rsidR="0007648A" w:rsidRDefault="0007648A">
      <w:pPr>
        <w:pStyle w:val="CommentText"/>
        <w:numPr>
          <w:ilvl w:val="0"/>
          <w:numId w:val="16"/>
        </w:numPr>
      </w:pPr>
      <w:r>
        <w:t>Project partners/advisors/participants</w:t>
      </w:r>
    </w:p>
    <w:p w14:paraId="17038E5C" w14:textId="77777777" w:rsidR="0007648A" w:rsidRDefault="0007648A">
      <w:pPr>
        <w:pStyle w:val="CommentText"/>
        <w:numPr>
          <w:ilvl w:val="0"/>
          <w:numId w:val="16"/>
        </w:numPr>
      </w:pPr>
      <w:r>
        <w:t>Overall approach</w:t>
      </w:r>
    </w:p>
    <w:p w14:paraId="7E792879" w14:textId="77777777" w:rsidR="0007648A" w:rsidRDefault="0007648A">
      <w:pPr>
        <w:pStyle w:val="CommentText"/>
        <w:numPr>
          <w:ilvl w:val="0"/>
          <w:numId w:val="16"/>
        </w:numPr>
      </w:pPr>
      <w:r>
        <w:t>Milestones</w:t>
      </w:r>
    </w:p>
    <w:p w14:paraId="74544C83" w14:textId="77777777" w:rsidR="0007648A" w:rsidRDefault="0007648A" w:rsidP="00A32F78">
      <w:pPr>
        <w:pStyle w:val="CommentText"/>
        <w:numPr>
          <w:ilvl w:val="0"/>
          <w:numId w:val="16"/>
        </w:numPr>
      </w:pPr>
      <w:r>
        <w:t>Figures OK</w:t>
      </w:r>
    </w:p>
  </w:comment>
  <w:comment w:id="3" w:author="Sarah Kurtz" w:date="2023-08-17T00:53:00Z" w:initials="SK">
    <w:p w14:paraId="2B7FB6CC" w14:textId="77777777" w:rsidR="00094F19" w:rsidRDefault="00EC3FC7" w:rsidP="00094F19">
      <w:pPr>
        <w:pStyle w:val="CommentText"/>
        <w:numPr>
          <w:ilvl w:val="0"/>
          <w:numId w:val="17"/>
        </w:numPr>
      </w:pPr>
      <w:r>
        <w:rPr>
          <w:rStyle w:val="CommentReference"/>
        </w:rPr>
        <w:annotationRef/>
      </w:r>
      <w:r w:rsidR="00094F19">
        <w:t>2500-3500 words</w:t>
      </w:r>
    </w:p>
    <w:p w14:paraId="5D947471" w14:textId="77777777" w:rsidR="00094F19" w:rsidRDefault="00094F19" w:rsidP="00094F19">
      <w:pPr>
        <w:pStyle w:val="CommentText"/>
        <w:numPr>
          <w:ilvl w:val="0"/>
          <w:numId w:val="17"/>
        </w:numPr>
      </w:pPr>
      <w:r>
        <w:t xml:space="preserve">Summarize outcomes and discuss </w:t>
      </w:r>
      <w:proofErr w:type="gramStart"/>
      <w:r>
        <w:t>significance</w:t>
      </w:r>
      <w:proofErr w:type="gramEnd"/>
    </w:p>
    <w:p w14:paraId="23440611" w14:textId="77777777" w:rsidR="00094F19" w:rsidRDefault="00094F19" w:rsidP="00094F19">
      <w:pPr>
        <w:pStyle w:val="CommentText"/>
        <w:numPr>
          <w:ilvl w:val="0"/>
          <w:numId w:val="17"/>
        </w:numPr>
      </w:pPr>
      <w:r>
        <w:t>Technical barriers and challenges</w:t>
      </w:r>
    </w:p>
    <w:p w14:paraId="03A98D0D" w14:textId="77777777" w:rsidR="00094F19" w:rsidRDefault="00094F19" w:rsidP="00094F19">
      <w:pPr>
        <w:pStyle w:val="CommentText"/>
        <w:numPr>
          <w:ilvl w:val="0"/>
          <w:numId w:val="17"/>
        </w:numPr>
      </w:pPr>
      <w:r>
        <w:t>Market and policy barriers</w:t>
      </w:r>
    </w:p>
    <w:p w14:paraId="1A94DB28" w14:textId="77777777" w:rsidR="00094F19" w:rsidRDefault="00094F19" w:rsidP="00094F19">
      <w:pPr>
        <w:pStyle w:val="CommentText"/>
        <w:numPr>
          <w:ilvl w:val="0"/>
          <w:numId w:val="17"/>
        </w:numPr>
      </w:pPr>
      <w:r>
        <w:t>Outreach activities</w:t>
      </w:r>
    </w:p>
    <w:p w14:paraId="2DAE1E4A" w14:textId="5BA8402E" w:rsidR="008D0ACB" w:rsidRDefault="00094F19" w:rsidP="00094F19">
      <w:pPr>
        <w:pStyle w:val="CommentText"/>
        <w:numPr>
          <w:ilvl w:val="0"/>
          <w:numId w:val="16"/>
        </w:numPr>
      </w:pPr>
      <w:r>
        <w:t>Figures OK</w:t>
      </w:r>
    </w:p>
  </w:comment>
  <w:comment w:id="4" w:author="Sunquist, Jeffrey@Energy" w:date="2023-08-15T13:31:00Z" w:initials="SJ">
    <w:p w14:paraId="68A9B7CA" w14:textId="17E7AB94" w:rsidR="007F7A9F" w:rsidRDefault="007F7A9F">
      <w:pPr>
        <w:pStyle w:val="CommentText"/>
        <w:numPr>
          <w:ilvl w:val="0"/>
          <w:numId w:val="21"/>
        </w:numPr>
      </w:pPr>
      <w:r>
        <w:rPr>
          <w:rStyle w:val="CommentReference"/>
        </w:rPr>
        <w:annotationRef/>
      </w:r>
      <w:r w:rsidR="00EC3FC7">
        <w:t>800-1000</w:t>
      </w:r>
      <w:r>
        <w:t xml:space="preserve"> words</w:t>
      </w:r>
    </w:p>
    <w:p w14:paraId="2AEC415D" w14:textId="77777777" w:rsidR="007F7A9F" w:rsidRDefault="00094F19" w:rsidP="00F42C73">
      <w:pPr>
        <w:pStyle w:val="CommentText"/>
        <w:numPr>
          <w:ilvl w:val="0"/>
          <w:numId w:val="21"/>
        </w:numPr>
      </w:pPr>
      <w:r>
        <w:t>Benefits and importance of project outcomes</w:t>
      </w:r>
    </w:p>
    <w:p w14:paraId="4EFB6FE7" w14:textId="77777777" w:rsidR="00094F19" w:rsidRDefault="00094F19" w:rsidP="00F42C73">
      <w:pPr>
        <w:pStyle w:val="CommentText"/>
        <w:numPr>
          <w:ilvl w:val="0"/>
          <w:numId w:val="21"/>
        </w:numPr>
      </w:pPr>
      <w:r>
        <w:t>Implications for industry, utilities, policy</w:t>
      </w:r>
    </w:p>
    <w:p w14:paraId="5EF6FC95" w14:textId="77777777" w:rsidR="00094F19" w:rsidRDefault="00094F19" w:rsidP="00F42C73">
      <w:pPr>
        <w:pStyle w:val="CommentText"/>
        <w:numPr>
          <w:ilvl w:val="0"/>
          <w:numId w:val="21"/>
        </w:numPr>
      </w:pPr>
      <w:r>
        <w:t xml:space="preserve">Lessons </w:t>
      </w:r>
      <w:proofErr w:type="gramStart"/>
      <w:r>
        <w:t>learned</w:t>
      </w:r>
      <w:proofErr w:type="gramEnd"/>
    </w:p>
    <w:p w14:paraId="727BEE71" w14:textId="7F75EA8C" w:rsidR="00094F19" w:rsidRDefault="00094F19" w:rsidP="00F42C73">
      <w:pPr>
        <w:pStyle w:val="CommentText"/>
        <w:numPr>
          <w:ilvl w:val="0"/>
          <w:numId w:val="21"/>
        </w:numPr>
      </w:pPr>
      <w:r>
        <w:t>Future research recommendations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EED9664" w15:done="0"/>
  <w15:commentEx w15:paraId="2940416B" w15:done="0"/>
  <w15:commentEx w15:paraId="74544C83" w15:done="0"/>
  <w15:commentEx w15:paraId="2DAE1E4A" w15:done="0"/>
  <w15:commentEx w15:paraId="727BEE7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85FA1F" w16cex:dateUtc="2023-08-15T20:20:00Z"/>
  <w16cex:commentExtensible w16cex:durableId="2885FABE" w16cex:dateUtc="2023-08-15T20:23:00Z"/>
  <w16cex:commentExtensible w16cex:durableId="2885FB0F" w16cex:dateUtc="2023-08-15T20:24:00Z"/>
  <w16cex:commentExtensible w16cex:durableId="2887EDF0" w16cex:dateUtc="2023-08-17T07:53:00Z"/>
  <w16cex:commentExtensible w16cex:durableId="2885FCA3" w16cex:dateUtc="2023-08-15T20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ED9664" w16cid:durableId="2885FA1F"/>
  <w16cid:commentId w16cid:paraId="2940416B" w16cid:durableId="2885FABE"/>
  <w16cid:commentId w16cid:paraId="74544C83" w16cid:durableId="2885FB0F"/>
  <w16cid:commentId w16cid:paraId="2DAE1E4A" w16cid:durableId="2887EDF0"/>
  <w16cid:commentId w16cid:paraId="727BEE71" w16cid:durableId="2885FCA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BEC78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10C98"/>
    <w:multiLevelType w:val="hybridMultilevel"/>
    <w:tmpl w:val="91A03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76F16"/>
    <w:multiLevelType w:val="hybridMultilevel"/>
    <w:tmpl w:val="CBA6265C"/>
    <w:lvl w:ilvl="0" w:tplc="F0F221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05CF9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0B201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A5C92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54C98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A96C2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CC6D2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3DA76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4D446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C8188E"/>
    <w:multiLevelType w:val="hybridMultilevel"/>
    <w:tmpl w:val="100A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033CF"/>
    <w:multiLevelType w:val="hybridMultilevel"/>
    <w:tmpl w:val="B3764798"/>
    <w:lvl w:ilvl="0" w:tplc="162027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BB083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88A7A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004F5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D80D9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DC246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FE18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75867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94AB4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152E3A3D"/>
    <w:multiLevelType w:val="hybridMultilevel"/>
    <w:tmpl w:val="03CCFA82"/>
    <w:lvl w:ilvl="0" w:tplc="DEDAF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3C44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565E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62033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A2AE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7B60C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10AD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80EC2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A104B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7AB3731"/>
    <w:multiLevelType w:val="hybridMultilevel"/>
    <w:tmpl w:val="1D942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E5A0E"/>
    <w:multiLevelType w:val="hybridMultilevel"/>
    <w:tmpl w:val="07629646"/>
    <w:lvl w:ilvl="0" w:tplc="925AEC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58D3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69A1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62AC5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E2096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34628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3586A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5264D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DADF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1FD73A17"/>
    <w:multiLevelType w:val="hybridMultilevel"/>
    <w:tmpl w:val="73D40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955D8"/>
    <w:multiLevelType w:val="hybridMultilevel"/>
    <w:tmpl w:val="25188038"/>
    <w:lvl w:ilvl="0" w:tplc="512A44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58823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3B697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91E36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0BA62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B42A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706B0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E64E6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1F85E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256B24D4"/>
    <w:multiLevelType w:val="hybridMultilevel"/>
    <w:tmpl w:val="F2A0AC02"/>
    <w:lvl w:ilvl="0" w:tplc="EBC696C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25CB0B86"/>
    <w:multiLevelType w:val="hybridMultilevel"/>
    <w:tmpl w:val="75A850DA"/>
    <w:lvl w:ilvl="0" w:tplc="186643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CE45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E6072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1DAE5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C7AD2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785D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3E0AD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0B661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38003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27466601"/>
    <w:multiLevelType w:val="hybridMultilevel"/>
    <w:tmpl w:val="E5381672"/>
    <w:lvl w:ilvl="0" w:tplc="8E3054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A00E4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91CF5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EE88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2A4F4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80069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A1497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94A4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326E4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31E85ECF"/>
    <w:multiLevelType w:val="hybridMultilevel"/>
    <w:tmpl w:val="CD3047CE"/>
    <w:lvl w:ilvl="0" w:tplc="39F845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CD21A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026FE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278A1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64A50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F7263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2B4C0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50E12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CAA6D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3D9842A3"/>
    <w:multiLevelType w:val="hybridMultilevel"/>
    <w:tmpl w:val="482C3FA0"/>
    <w:lvl w:ilvl="0" w:tplc="3CBC68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7AC4D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29656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AA69B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B36FB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F5A6D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D80C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7C88E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F4EA2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41174844"/>
    <w:multiLevelType w:val="hybridMultilevel"/>
    <w:tmpl w:val="3B4E7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B6F34"/>
    <w:multiLevelType w:val="hybridMultilevel"/>
    <w:tmpl w:val="CEECBCD4"/>
    <w:lvl w:ilvl="0" w:tplc="B9AA47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BFCE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910D7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1669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1064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7CCB8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2AA4B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C7C9B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3206A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476D728D"/>
    <w:multiLevelType w:val="hybridMultilevel"/>
    <w:tmpl w:val="A2CAB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9548A"/>
    <w:multiLevelType w:val="hybridMultilevel"/>
    <w:tmpl w:val="1840C046"/>
    <w:lvl w:ilvl="0" w:tplc="E2C05B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BEC8B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DE4AC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52EBE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4D83E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16A62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F125D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9F8AC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D8811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6A2D0700"/>
    <w:multiLevelType w:val="hybridMultilevel"/>
    <w:tmpl w:val="65980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507E0"/>
    <w:multiLevelType w:val="hybridMultilevel"/>
    <w:tmpl w:val="A55C5B52"/>
    <w:lvl w:ilvl="0" w:tplc="EA426E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8400B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F20A8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00CC3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EEEF2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0BE84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76C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CA657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8A20A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6D7D2002"/>
    <w:multiLevelType w:val="hybridMultilevel"/>
    <w:tmpl w:val="4F061394"/>
    <w:lvl w:ilvl="0" w:tplc="782A6B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2CD3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8EA37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F5C1E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638E2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C8EDB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346D9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378F6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A4E1B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6F740D6C"/>
    <w:multiLevelType w:val="hybridMultilevel"/>
    <w:tmpl w:val="17E88EA6"/>
    <w:lvl w:ilvl="0" w:tplc="134804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F0C93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EAD1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54C8C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13E3B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06E31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F2E25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CCA99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B2EDF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207572417">
    <w:abstractNumId w:val="0"/>
  </w:num>
  <w:num w:numId="2" w16cid:durableId="1666277438">
    <w:abstractNumId w:val="10"/>
  </w:num>
  <w:num w:numId="3" w16cid:durableId="562639747">
    <w:abstractNumId w:val="19"/>
  </w:num>
  <w:num w:numId="4" w16cid:durableId="1808160453">
    <w:abstractNumId w:val="1"/>
  </w:num>
  <w:num w:numId="5" w16cid:durableId="390351926">
    <w:abstractNumId w:val="16"/>
  </w:num>
  <w:num w:numId="6" w16cid:durableId="1269970232">
    <w:abstractNumId w:val="21"/>
  </w:num>
  <w:num w:numId="7" w16cid:durableId="883297898">
    <w:abstractNumId w:val="22"/>
  </w:num>
  <w:num w:numId="8" w16cid:durableId="2052730411">
    <w:abstractNumId w:val="2"/>
  </w:num>
  <w:num w:numId="9" w16cid:durableId="1611006234">
    <w:abstractNumId w:val="5"/>
  </w:num>
  <w:num w:numId="10" w16cid:durableId="1651515171">
    <w:abstractNumId w:val="18"/>
  </w:num>
  <w:num w:numId="11" w16cid:durableId="863250888">
    <w:abstractNumId w:val="20"/>
  </w:num>
  <w:num w:numId="12" w16cid:durableId="1394549087">
    <w:abstractNumId w:val="9"/>
  </w:num>
  <w:num w:numId="13" w16cid:durableId="316569148">
    <w:abstractNumId w:val="11"/>
  </w:num>
  <w:num w:numId="14" w16cid:durableId="147409205">
    <w:abstractNumId w:val="14"/>
  </w:num>
  <w:num w:numId="15" w16cid:durableId="162473772">
    <w:abstractNumId w:val="13"/>
  </w:num>
  <w:num w:numId="16" w16cid:durableId="186064927">
    <w:abstractNumId w:val="4"/>
  </w:num>
  <w:num w:numId="17" w16cid:durableId="851917963">
    <w:abstractNumId w:val="7"/>
  </w:num>
  <w:num w:numId="18" w16cid:durableId="1183058097">
    <w:abstractNumId w:val="8"/>
  </w:num>
  <w:num w:numId="19" w16cid:durableId="659308863">
    <w:abstractNumId w:val="17"/>
  </w:num>
  <w:num w:numId="20" w16cid:durableId="1513690728">
    <w:abstractNumId w:val="15"/>
  </w:num>
  <w:num w:numId="21" w16cid:durableId="1225409568">
    <w:abstractNumId w:val="12"/>
  </w:num>
  <w:num w:numId="22" w16cid:durableId="1000811245">
    <w:abstractNumId w:val="3"/>
  </w:num>
  <w:num w:numId="23" w16cid:durableId="40226370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nquist, Jeffrey@Energy">
    <w15:presenceInfo w15:providerId="AD" w15:userId="S::jeffrey.Sunquist@energy.ca.gov::c58d1e35-8887-4f1b-9c1d-c38171b87d17"/>
  </w15:person>
  <w15:person w15:author="Sarah Kurtz">
    <w15:presenceInfo w15:providerId="AD" w15:userId="S::skurtz@ucmerced.edu::ca026c90-ef32-4fb4-a27c-e0ec03f624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37"/>
    <w:rsid w:val="0007648A"/>
    <w:rsid w:val="0009050C"/>
    <w:rsid w:val="00094F19"/>
    <w:rsid w:val="000C16F5"/>
    <w:rsid w:val="000D4E9C"/>
    <w:rsid w:val="000E3B86"/>
    <w:rsid w:val="001C442A"/>
    <w:rsid w:val="002038F7"/>
    <w:rsid w:val="00223D34"/>
    <w:rsid w:val="00262C55"/>
    <w:rsid w:val="00284A70"/>
    <w:rsid w:val="002E0340"/>
    <w:rsid w:val="002E6792"/>
    <w:rsid w:val="003272B7"/>
    <w:rsid w:val="003C7F94"/>
    <w:rsid w:val="004176B9"/>
    <w:rsid w:val="00426597"/>
    <w:rsid w:val="00433E6B"/>
    <w:rsid w:val="00481CFA"/>
    <w:rsid w:val="004867A3"/>
    <w:rsid w:val="004F4065"/>
    <w:rsid w:val="004F73FA"/>
    <w:rsid w:val="00522B54"/>
    <w:rsid w:val="00545812"/>
    <w:rsid w:val="00581E43"/>
    <w:rsid w:val="00582FC7"/>
    <w:rsid w:val="00583713"/>
    <w:rsid w:val="00584321"/>
    <w:rsid w:val="00595A45"/>
    <w:rsid w:val="005B3E48"/>
    <w:rsid w:val="00643541"/>
    <w:rsid w:val="0069132E"/>
    <w:rsid w:val="006A3A31"/>
    <w:rsid w:val="006C7412"/>
    <w:rsid w:val="00777A28"/>
    <w:rsid w:val="007D5DCF"/>
    <w:rsid w:val="007E6F01"/>
    <w:rsid w:val="007F7A9F"/>
    <w:rsid w:val="008104A5"/>
    <w:rsid w:val="008726BB"/>
    <w:rsid w:val="008C4BE1"/>
    <w:rsid w:val="008D0ACB"/>
    <w:rsid w:val="008F4F28"/>
    <w:rsid w:val="009442D3"/>
    <w:rsid w:val="009457D3"/>
    <w:rsid w:val="00974883"/>
    <w:rsid w:val="00983614"/>
    <w:rsid w:val="00985368"/>
    <w:rsid w:val="009860E1"/>
    <w:rsid w:val="00A00803"/>
    <w:rsid w:val="00A24325"/>
    <w:rsid w:val="00AE5EE0"/>
    <w:rsid w:val="00B02B37"/>
    <w:rsid w:val="00B13D0F"/>
    <w:rsid w:val="00B71935"/>
    <w:rsid w:val="00B72B9C"/>
    <w:rsid w:val="00BB2D28"/>
    <w:rsid w:val="00BD1F42"/>
    <w:rsid w:val="00CC77E5"/>
    <w:rsid w:val="00D507A7"/>
    <w:rsid w:val="00D50AC4"/>
    <w:rsid w:val="00DB69BC"/>
    <w:rsid w:val="00E017B4"/>
    <w:rsid w:val="00E076B3"/>
    <w:rsid w:val="00E91E90"/>
    <w:rsid w:val="00EC2585"/>
    <w:rsid w:val="00EC3FC7"/>
    <w:rsid w:val="00EE131E"/>
    <w:rsid w:val="00F50DBE"/>
    <w:rsid w:val="00F95FC0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23096"/>
  <w14:defaultImageDpi w14:val="32767"/>
  <w15:chartTrackingRefBased/>
  <w15:docId w15:val="{0CB28D0A-CD1E-0642-91BA-C62EC248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23D34"/>
    <w:rPr>
      <w:rFonts w:ascii="Tahoma" w:hAnsi="Tahoma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8F7"/>
    <w:pPr>
      <w:keepNext/>
      <w:keepLines/>
      <w:spacing w:before="24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2B54"/>
    <w:pPr>
      <w:keepNext/>
      <w:keepLines/>
      <w:spacing w:before="40"/>
      <w:outlineLvl w:val="1"/>
    </w:pPr>
    <w:rPr>
      <w:rFonts w:eastAsiaTheme="majorEastAsia" w:cstheme="majorBidi"/>
      <w:b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2B54"/>
    <w:pPr>
      <w:keepNext/>
      <w:keepLines/>
      <w:spacing w:before="40"/>
      <w:outlineLvl w:val="2"/>
    </w:pPr>
    <w:rPr>
      <w:rFonts w:eastAsiaTheme="majorEastAsia" w:cstheme="majorBidi"/>
      <w:b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B02B37"/>
    <w:pPr>
      <w:numPr>
        <w:numId w:val="1"/>
      </w:numPr>
      <w:tabs>
        <w:tab w:val="clear" w:pos="360"/>
      </w:tabs>
      <w:spacing w:before="80" w:after="80" w:line="300" w:lineRule="exact"/>
      <w:ind w:left="720"/>
    </w:pPr>
  </w:style>
  <w:style w:type="paragraph" w:styleId="ListParagraph">
    <w:name w:val="List Paragraph"/>
    <w:basedOn w:val="Normal"/>
    <w:uiPriority w:val="34"/>
    <w:qFormat/>
    <w:rsid w:val="00E076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3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37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3713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713"/>
    <w:rPr>
      <w:rFonts w:ascii="Arial" w:hAnsi="Arial"/>
      <w:b/>
      <w:bCs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038F7"/>
    <w:rPr>
      <w:rFonts w:ascii="Tahoma" w:eastAsiaTheme="majorEastAsia" w:hAnsi="Tahoma" w:cstheme="majorBidi"/>
      <w:b/>
      <w:kern w:val="0"/>
      <w:sz w:val="4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22B54"/>
    <w:rPr>
      <w:rFonts w:ascii="Tahoma" w:eastAsiaTheme="majorEastAsia" w:hAnsi="Tahoma" w:cstheme="majorBidi"/>
      <w:b/>
      <w:kern w:val="0"/>
      <w:sz w:val="3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22B54"/>
    <w:rPr>
      <w:rFonts w:ascii="Tahoma" w:eastAsiaTheme="majorEastAsia" w:hAnsi="Tahoma" w:cstheme="majorBidi"/>
      <w:b/>
      <w:kern w:val="0"/>
      <w:sz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8137CEC363543BD899375F8C44ADF" ma:contentTypeVersion="30" ma:contentTypeDescription="Create a new document." ma:contentTypeScope="" ma:versionID="52718f0f29e5559e049b6577e2ab4615">
  <xsd:schema xmlns:xsd="http://www.w3.org/2001/XMLSchema" xmlns:xs="http://www.w3.org/2001/XMLSchema" xmlns:p="http://schemas.microsoft.com/office/2006/metadata/properties" xmlns:ns2="f987d30c-d05a-4173-82a2-8eb69bd0ff3e" xmlns:ns3="5067c814-4b34-462c-a21d-c185ff6548d2" targetNamespace="http://schemas.microsoft.com/office/2006/metadata/properties" ma:root="true" ma:fieldsID="1e0fdbc0d1e21507912c43a328371a8d" ns2:_="" ns3:_="">
    <xsd:import namespace="f987d30c-d05a-4173-82a2-8eb69bd0ff3e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CAM" minOccurs="0"/>
                <xsd:element ref="ns3:Funding" minOccurs="0"/>
                <xsd:element ref="ns3:Recipient" minOccurs="0"/>
                <xsd:element ref="ns3:Agreement_x0023_" minOccurs="0"/>
                <xsd:element ref="ns3:AgreementStatus" minOccurs="0"/>
                <xsd:element ref="ns3:ProjectTitl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KeyTerm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7d30c-d05a-4173-82a2-8eb69bd0f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CAM" ma:index="10" nillable="true" ma:displayName="CAM" ma:description="Commission Agreement Manager" ma:list="UserInfo" ma:SharePointGroup="0" ma:internalName="CAM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unding" ma:index="11" nillable="true" ma:displayName="Funding" ma:default="EPIC" ma:format="Dropdown" ma:internalName="Funding">
      <xsd:simpleType>
        <xsd:restriction base="dms:Choice">
          <xsd:enumeration value="EPIC"/>
          <xsd:enumeration value="NG"/>
          <xsd:enumeration value="FPIP"/>
        </xsd:restriction>
      </xsd:simpleType>
    </xsd:element>
    <xsd:element name="Recipient" ma:index="12" nillable="true" ma:displayName="Recipient" ma:description="Grant recipient." ma:internalName="Recipient">
      <xsd:simpleType>
        <xsd:restriction base="dms:Text">
          <xsd:maxLength value="255"/>
        </xsd:restriction>
      </xsd:simpleType>
    </xsd:element>
    <xsd:element name="Agreement_x0023_" ma:index="13" nillable="true" ma:displayName="Agreement #" ma:description="Agreement Number" ma:indexed="true" ma:internalName="Agreement_x0023_">
      <xsd:simpleType>
        <xsd:restriction base="dms:Text">
          <xsd:maxLength value="10"/>
        </xsd:restriction>
      </xsd:simpleType>
    </xsd:element>
    <xsd:element name="AgreementStatus" ma:index="14" nillable="true" ma:displayName="Agreement Status" ma:default="Active" ma:format="Dropdown" ma:internalName="AgreementStatus">
      <xsd:simpleType>
        <xsd:restriction base="dms:Choice">
          <xsd:enumeration value="Active"/>
          <xsd:enumeration value="Completed"/>
          <xsd:enumeration value="Development"/>
          <xsd:enumeration value="Terminated"/>
          <xsd:enumeration value="Cancelled"/>
        </xsd:restriction>
      </xsd:simpleType>
    </xsd:element>
    <xsd:element name="ProjectTitle" ma:index="15" nillable="true" ma:displayName="Project Title" ma:indexed="true" ma:internalName="ProjectTitle">
      <xsd:simpleType>
        <xsd:restriction base="dms:Text">
          <xsd:maxLength value="255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KeyTerms" ma:index="25" nillable="true" ma:displayName="Key Terms" ma:default="Advanced Metering Infrastructure" ma:format="Dropdown" ma:internalName="KeyTerm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anced Metering Infrastructure"/>
                    <xsd:enumeration value="Agriculture"/>
                    <xsd:enumeration value="Air Quality"/>
                    <xsd:enumeration value="Application Programming Interface"/>
                    <xsd:enumeration value="Batteries (Lithium)"/>
                    <xsd:enumeration value="Batteries (Non-Lithium)"/>
                    <xsd:enumeration value="Battery Reuse &amp; Recycling"/>
                    <xsd:enumeration value="Biodiversity"/>
                    <xsd:enumeration value="Bioenergy"/>
                    <xsd:enumeration value="Building Energy Management System (BEMS, EMS, BAS)"/>
                    <xsd:enumeration value="Building Envelope"/>
                    <xsd:enumeration value="Buildings Retrofit"/>
                    <xsd:enumeration value="Climate (Fourth Assessment)"/>
                    <xsd:enumeration value="Climate Analytics"/>
                    <xsd:enumeration value="Climate Data"/>
                    <xsd:enumeration value="Combined Heat &amp; Power (CHP)"/>
                    <xsd:enumeration value="Commercial"/>
                    <xsd:enumeration value="Consumer Behavior Studies"/>
                    <xsd:enumeration value="Damage Detection"/>
                    <xsd:enumeration value="Damage Prevention"/>
                    <xsd:enumeration value="Data Analytics"/>
                    <xsd:enumeration value="Datacenter"/>
                    <xsd:enumeration value="Decarbonization"/>
                    <xsd:enumeration value="Demand Flexibility"/>
                    <xsd:enumeration value="Demand Response"/>
                    <xsd:enumeration value="Demand Response (Automated)"/>
                    <xsd:enumeration value="Demonstration"/>
                    <xsd:enumeration value="Desalination"/>
                    <xsd:enumeration value="Direct Load Control"/>
                    <xsd:enumeration value="Disadvantaged Community (DAC)"/>
                    <xsd:enumeration value="Distributed Energy Resource (DER)"/>
                    <xsd:enumeration value="Distribution System (Gas)"/>
                    <xsd:enumeration value="Ecosystems"/>
                    <xsd:enumeration value="Efficiency"/>
                    <xsd:enumeration value="Electricity Pricing"/>
                    <xsd:enumeration value="Electrification"/>
                    <xsd:enumeration value="Electrolysis"/>
                    <xsd:enumeration value="Entrepreneurial Ecosystem"/>
                    <xsd:enumeration value="Equity"/>
                    <xsd:enumeration value="Extreme Events"/>
                    <xsd:enumeration value="Field Study"/>
                    <xsd:enumeration value="Food Processing"/>
                    <xsd:enumeration value="Forecasting"/>
                    <xsd:enumeration value="Fuel Cell"/>
                    <xsd:enumeration value="Geothermal"/>
                    <xsd:enumeration value="Greenhouse Gases (GHGs)"/>
                    <xsd:enumeration value="Grid-Interactive Efficient Buildings"/>
                    <xsd:enumeration value="Hazard Detection"/>
                    <xsd:enumeration value="Heat Pump"/>
                    <xsd:enumeration value="Heat Recovery"/>
                    <xsd:enumeration value="HVAC"/>
                    <xsd:enumeration value="Hydro Power"/>
                    <xsd:enumeration value="Hydrogen"/>
                    <xsd:enumeration value="Hydrogen (Gas Blending)"/>
                    <xsd:enumeration value="Hydrogen (Green)"/>
                    <xsd:enumeration value="Industrial"/>
                    <xsd:enumeration value="Internet of Things (IoT)"/>
                    <xsd:enumeration value="Leak Detection (Hydrogen)"/>
                    <xsd:enumeration value="Leak Detection (Methane)"/>
                    <xsd:enumeration value="Life Cycle Assessment"/>
                    <xsd:enumeration value="Lighting (Non-Solid-State)"/>
                    <xsd:enumeration value="Lighting (Solid-State)"/>
                    <xsd:enumeration value="Lithium Recovery"/>
                    <xsd:enumeration value="Load Management Standards"/>
                    <xsd:enumeration value="Long-Term Energy Scenarios"/>
                    <xsd:enumeration value="Low Income (LI)"/>
                    <xsd:enumeration value="Methane"/>
                    <xsd:enumeration value="Microgrid"/>
                    <xsd:enumeration value="Model Predictive Control"/>
                    <xsd:enumeration value="Modeling"/>
                    <xsd:enumeration value="Monitoring (Fault Displacement)"/>
                    <xsd:enumeration value="Monitoring (Gas Wells)"/>
                    <xsd:enumeration value="Monitoring (Ground Motion)"/>
                    <xsd:enumeration value="Monitoring (Pipelines)"/>
                    <xsd:enumeration value="Natural Gas"/>
                    <xsd:enumeration value="Open ADR"/>
                    <xsd:enumeration value="Open Source"/>
                    <xsd:enumeration value="Piezoelectric"/>
                    <xsd:enumeration value="Pipeline Mapping"/>
                    <xsd:enumeration value="Plug Load (Misc. Electric Load)"/>
                    <xsd:enumeration value="Power Generation"/>
                    <xsd:enumeration value="Refrigerant ( Low GWP, Alternative)"/>
                    <xsd:enumeration value="Refrigeration"/>
                    <xsd:enumeration value="Residential (Multifamily)"/>
                    <xsd:enumeration value="Residential (Single-Family)"/>
                    <xsd:enumeration value="Resilience"/>
                    <xsd:enumeration value="Risk Assessment"/>
                    <xsd:enumeration value="SB 100"/>
                    <xsd:enumeration value="Seismic"/>
                    <xsd:enumeration value="Sensors (Asset Conditions)"/>
                    <xsd:enumeration value="Sensors (Environmental Conditions)"/>
                    <xsd:enumeration value="Sensors (Locating)"/>
                    <xsd:enumeration value="Sensors (Material Integrity)"/>
                    <xsd:enumeration value="Smart Shut Off"/>
                    <xsd:enumeration value="Soil Carbon"/>
                    <xsd:enumeration value="Solar PV"/>
                    <xsd:enumeration value="Solar PV (Thin-Film)"/>
                    <xsd:enumeration value="Solar PV (Transparent Solar Windows)"/>
                    <xsd:enumeration value="Solar Thermal"/>
                    <xsd:enumeration value="Storage (for Electricity)"/>
                    <xsd:enumeration value="Storage (Gas Tanks)"/>
                    <xsd:enumeration value="Storage (Gas Wells)"/>
                    <xsd:enumeration value="Storage (Long-Duration)"/>
                    <xsd:enumeration value="Storage (Short-Duration)"/>
                    <xsd:enumeration value="Stranded Assets"/>
                    <xsd:enumeration value="Studies"/>
                    <xsd:enumeration value="Tactical Decommissioning"/>
                    <xsd:enumeration value="Thermal Storage"/>
                    <xsd:enumeration value="Thermoelectric"/>
                    <xsd:enumeration value="Title 24"/>
                    <xsd:enumeration value="Transmission (Electric)"/>
                    <xsd:enumeration value="Transmission (Gas)"/>
                    <xsd:enumeration value="Transportation"/>
                    <xsd:enumeration value="Vehicle-Grid Integration"/>
                    <xsd:enumeration value="Vehicles (LD)"/>
                    <xsd:enumeration value="Vehicles (MD/HD)"/>
                    <xsd:enumeration value="Wastewater"/>
                    <xsd:enumeration value="Water Heating"/>
                    <xsd:enumeration value="Water Recovery"/>
                    <xsd:enumeration value="Wave Power"/>
                    <xsd:enumeration value="Weather"/>
                    <xsd:enumeration value="Wildfire"/>
                    <xsd:enumeration value="Wildlife"/>
                    <xsd:enumeration value="Wind Power (Offshore)"/>
                    <xsd:enumeration value="Wind Power (Onshore)"/>
                    <xsd:enumeration value="Zero-Emission Vehicles (ZEV)"/>
                  </xsd:restriction>
                </xsd:simpleType>
              </xsd:element>
            </xsd:sequence>
          </xsd:extension>
        </xsd:complexContent>
      </xsd:complexType>
    </xsd:element>
    <xsd:element name="TaxCatchAll" ma:index="28" nillable="true" ma:displayName="Taxonomy Catch All Column" ma:hidden="true" ma:list="{35e22a95-f585-4415-9e48-c56db57f2691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B744B5-08A9-435D-BE05-F36FF740C6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65A4D-4877-4425-ADCC-6D918EF98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87d30c-d05a-4173-82a2-8eb69bd0ff3e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Kurtz</dc:creator>
  <cp:keywords/>
  <dc:description/>
  <cp:lastModifiedBy>Sarah Kurtz</cp:lastModifiedBy>
  <cp:revision>4</cp:revision>
  <dcterms:created xsi:type="dcterms:W3CDTF">2023-08-17T08:08:00Z</dcterms:created>
  <dcterms:modified xsi:type="dcterms:W3CDTF">2023-08-17T08:13:00Z</dcterms:modified>
</cp:coreProperties>
</file>