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463F" w14:textId="77777777" w:rsidR="00E80DFE" w:rsidRPr="0071037F" w:rsidRDefault="00E80DFE" w:rsidP="00E80DFE">
      <w:pPr>
        <w:pStyle w:val="Author"/>
        <w:tabs>
          <w:tab w:val="left" w:pos="3491"/>
        </w:tabs>
        <w:rPr>
          <w:sz w:val="36"/>
          <w:szCs w:val="36"/>
        </w:rPr>
      </w:pPr>
      <w:r w:rsidRPr="0071037F">
        <w:rPr>
          <w:sz w:val="36"/>
          <w:szCs w:val="36"/>
        </w:rPr>
        <w:t xml:space="preserve">Demand Programs Should Drive </w:t>
      </w:r>
      <w:r w:rsidR="0071037F">
        <w:rPr>
          <w:sz w:val="36"/>
          <w:szCs w:val="36"/>
        </w:rPr>
        <w:t xml:space="preserve">– Not </w:t>
      </w:r>
      <w:r w:rsidRPr="0071037F">
        <w:rPr>
          <w:sz w:val="36"/>
          <w:szCs w:val="36"/>
        </w:rPr>
        <w:t>Lag</w:t>
      </w:r>
      <w:r w:rsidR="0071037F">
        <w:rPr>
          <w:sz w:val="36"/>
          <w:szCs w:val="36"/>
        </w:rPr>
        <w:t xml:space="preserve"> – </w:t>
      </w:r>
      <w:r w:rsidRPr="0071037F">
        <w:rPr>
          <w:sz w:val="36"/>
          <w:szCs w:val="36"/>
        </w:rPr>
        <w:t>the Transition to Renewable Generation</w:t>
      </w:r>
    </w:p>
    <w:p w14:paraId="2B34C085" w14:textId="22DD26B6" w:rsidR="007F196E" w:rsidRDefault="001A5948" w:rsidP="00E80DFE">
      <w:pPr>
        <w:pStyle w:val="Author"/>
        <w:tabs>
          <w:tab w:val="left" w:pos="3491"/>
        </w:tabs>
        <w:spacing w:before="80"/>
      </w:pPr>
      <w:r>
        <w:t>Masoumeh Amirifard,</w:t>
      </w:r>
      <w:r>
        <w:rPr>
          <w:vertAlign w:val="superscript"/>
        </w:rPr>
        <w:t>a</w:t>
      </w:r>
      <w:r>
        <w:rPr>
          <w:rFonts w:eastAsia="MS Mincho"/>
        </w:rPr>
        <w:t xml:space="preserve"> </w:t>
      </w:r>
      <w:r w:rsidR="007F196E">
        <w:rPr>
          <w:rFonts w:eastAsia="MS Mincho"/>
        </w:rPr>
        <w:t xml:space="preserve">Ronald A. Sinton </w:t>
      </w:r>
      <w:r>
        <w:rPr>
          <w:rFonts w:eastAsia="MS Mincho"/>
          <w:vertAlign w:val="superscript"/>
        </w:rPr>
        <w:t>b</w:t>
      </w:r>
      <w:r w:rsidR="007F196E">
        <w:t xml:space="preserve">, </w:t>
      </w:r>
      <w:r w:rsidR="007F196E">
        <w:rPr>
          <w:rFonts w:eastAsia="MS Mincho"/>
        </w:rPr>
        <w:t xml:space="preserve">Sarah Kurtz </w:t>
      </w:r>
      <w:r>
        <w:rPr>
          <w:vertAlign w:val="superscript"/>
        </w:rPr>
        <w:t>c</w:t>
      </w:r>
    </w:p>
    <w:p w14:paraId="21CA7BCB" w14:textId="77777777" w:rsidR="001A5948" w:rsidRPr="00B62B34" w:rsidRDefault="001A5948" w:rsidP="00E80DFE">
      <w:pPr>
        <w:pStyle w:val="Author"/>
        <w:tabs>
          <w:tab w:val="left" w:pos="3491"/>
        </w:tabs>
        <w:spacing w:before="80"/>
        <w:rPr>
          <w:rFonts w:eastAsia="MS Mincho"/>
        </w:rPr>
      </w:pPr>
      <w:r>
        <w:rPr>
          <w:rFonts w:eastAsia="MS Mincho"/>
          <w:vertAlign w:val="superscript"/>
        </w:rPr>
        <w:t>a</w:t>
      </w:r>
      <w:r>
        <w:rPr>
          <w:rFonts w:eastAsia="MS Mincho"/>
        </w:rPr>
        <w:t xml:space="preserve"> University of Tehran, Tehran, Iran, m.amirifard@ut.ac.ir</w:t>
      </w:r>
    </w:p>
    <w:p w14:paraId="6FFBED8A" w14:textId="77777777" w:rsidR="007F196E" w:rsidRPr="00B62B34" w:rsidRDefault="001A5948" w:rsidP="00E80DFE">
      <w:pPr>
        <w:pStyle w:val="Author"/>
        <w:tabs>
          <w:tab w:val="left" w:pos="3491"/>
        </w:tabs>
        <w:spacing w:before="80"/>
        <w:rPr>
          <w:rFonts w:eastAsia="MS Mincho"/>
        </w:rPr>
      </w:pPr>
      <w:r>
        <w:rPr>
          <w:rFonts w:eastAsia="MS Mincho"/>
          <w:vertAlign w:val="superscript"/>
        </w:rPr>
        <w:t>b</w:t>
      </w:r>
      <w:r w:rsidR="007F196E">
        <w:rPr>
          <w:rFonts w:eastAsia="MS Mincho"/>
        </w:rPr>
        <w:t xml:space="preserve"> </w:t>
      </w:r>
      <w:r w:rsidR="007F196E" w:rsidRPr="00B62B34">
        <w:rPr>
          <w:rFonts w:eastAsia="MS Mincho"/>
        </w:rPr>
        <w:t>Sinton Instruments</w:t>
      </w:r>
      <w:r w:rsidR="007F196E">
        <w:rPr>
          <w:rFonts w:eastAsia="MS Mincho"/>
        </w:rPr>
        <w:t xml:space="preserve">, </w:t>
      </w:r>
      <w:r w:rsidR="007F196E" w:rsidRPr="00B62B34">
        <w:rPr>
          <w:rFonts w:eastAsia="MS Mincho"/>
        </w:rPr>
        <w:t>Boulder, CO</w:t>
      </w:r>
      <w:r w:rsidR="007D7AF1">
        <w:rPr>
          <w:rFonts w:eastAsia="MS Mincho"/>
        </w:rPr>
        <w:t>,</w:t>
      </w:r>
      <w:r w:rsidR="007F196E" w:rsidRPr="00B62B34">
        <w:rPr>
          <w:rFonts w:eastAsia="MS Mincho"/>
        </w:rPr>
        <w:t xml:space="preserve"> USA</w:t>
      </w:r>
      <w:r w:rsidR="007F196E">
        <w:rPr>
          <w:rFonts w:eastAsia="MS Mincho"/>
        </w:rPr>
        <w:t xml:space="preserve">, </w:t>
      </w:r>
      <w:r w:rsidR="007F196E" w:rsidRPr="00B62B34">
        <w:rPr>
          <w:rFonts w:eastAsia="MS Mincho"/>
        </w:rPr>
        <w:t>ron@sintoninstruments.com</w:t>
      </w:r>
    </w:p>
    <w:p w14:paraId="2ED4BC52" w14:textId="3D068CCF" w:rsidR="007F196E" w:rsidRDefault="001A5948" w:rsidP="00E80DFE">
      <w:pPr>
        <w:pStyle w:val="Author"/>
        <w:tabs>
          <w:tab w:val="left" w:pos="3491"/>
        </w:tabs>
        <w:spacing w:before="80"/>
        <w:rPr>
          <w:rFonts w:eastAsia="MS Mincho"/>
        </w:rPr>
      </w:pPr>
      <w:r>
        <w:rPr>
          <w:rFonts w:eastAsia="MS Mincho"/>
          <w:vertAlign w:val="superscript"/>
        </w:rPr>
        <w:t>c</w:t>
      </w:r>
      <w:r w:rsidR="007F196E">
        <w:rPr>
          <w:rFonts w:eastAsia="MS Mincho"/>
        </w:rPr>
        <w:t xml:space="preserve"> </w:t>
      </w:r>
      <w:r w:rsidR="007F196E" w:rsidRPr="00B62B34">
        <w:rPr>
          <w:rFonts w:eastAsia="MS Mincho"/>
        </w:rPr>
        <w:t>University of California</w:t>
      </w:r>
      <w:r w:rsidR="00FF0EF3">
        <w:rPr>
          <w:rFonts w:eastAsia="MS Mincho"/>
        </w:rPr>
        <w:t xml:space="preserve"> Merced</w:t>
      </w:r>
      <w:r w:rsidR="007F196E" w:rsidRPr="00B62B34">
        <w:rPr>
          <w:rFonts w:eastAsia="MS Mincho"/>
        </w:rPr>
        <w:t>, Merced, CA</w:t>
      </w:r>
      <w:r w:rsidR="007D7AF1">
        <w:rPr>
          <w:rFonts w:eastAsia="MS Mincho"/>
        </w:rPr>
        <w:t>,</w:t>
      </w:r>
      <w:r w:rsidR="007F196E" w:rsidRPr="00B62B34">
        <w:rPr>
          <w:rFonts w:eastAsia="MS Mincho"/>
        </w:rPr>
        <w:t xml:space="preserve"> USA</w:t>
      </w:r>
      <w:r w:rsidR="007F196E">
        <w:rPr>
          <w:rFonts w:eastAsia="MS Mincho"/>
        </w:rPr>
        <w:t xml:space="preserve">, </w:t>
      </w:r>
      <w:hyperlink r:id="rId8" w:history="1">
        <w:r w:rsidR="00E90E67" w:rsidRPr="008404A1">
          <w:rPr>
            <w:rStyle w:val="Hyperlink"/>
            <w:rFonts w:eastAsia="MS Mincho"/>
          </w:rPr>
          <w:t>skurtz@ucmerced.edu</w:t>
        </w:r>
      </w:hyperlink>
    </w:p>
    <w:p w14:paraId="46CABF78" w14:textId="77777777" w:rsidR="00F51E55" w:rsidRDefault="00F51E55">
      <w:pPr>
        <w:pStyle w:val="Affiliation"/>
        <w:rPr>
          <w:rFonts w:eastAsia="MS Mincho"/>
        </w:rPr>
      </w:pPr>
    </w:p>
    <w:p w14:paraId="6B204279" w14:textId="77777777" w:rsidR="00F30FD8" w:rsidRDefault="00F30FD8">
      <w:pPr>
        <w:rPr>
          <w:rFonts w:eastAsia="MS Mincho"/>
        </w:rPr>
      </w:pPr>
    </w:p>
    <w:p w14:paraId="4FA2FAAA" w14:textId="77777777" w:rsidR="00F51E55" w:rsidRDefault="00F51E55" w:rsidP="00F51E55">
      <w:pPr>
        <w:rPr>
          <w:rFonts w:eastAsia="MS Mincho"/>
        </w:rPr>
        <w:sectPr w:rsidR="00F51E55" w:rsidSect="00956408">
          <w:footerReference w:type="default" r:id="rId9"/>
          <w:footerReference w:type="first" r:id="rId10"/>
          <w:type w:val="continuous"/>
          <w:pgSz w:w="12240" w:h="15840" w:code="1"/>
          <w:pgMar w:top="1080" w:right="734" w:bottom="2434" w:left="734" w:header="720" w:footer="720" w:gutter="0"/>
          <w:cols w:space="720"/>
          <w:docGrid w:linePitch="360"/>
        </w:sectPr>
      </w:pPr>
    </w:p>
    <w:p w14:paraId="3A773C60" w14:textId="218B7C73" w:rsidR="009F4EC8" w:rsidRPr="0070447B" w:rsidRDefault="00F30FD8" w:rsidP="00CD610A">
      <w:pPr>
        <w:pStyle w:val="Abstract"/>
        <w:rPr>
          <w:rFonts w:eastAsia="MS Mincho"/>
          <w:b w:val="0"/>
          <w:bCs w:val="0"/>
          <w:color w:val="000000"/>
          <w:sz w:val="20"/>
          <w:szCs w:val="20"/>
        </w:rPr>
      </w:pPr>
      <w:r w:rsidRPr="0070447B">
        <w:rPr>
          <w:rFonts w:eastAsia="MS Mincho"/>
          <w:b w:val="0"/>
          <w:bCs w:val="0"/>
          <w:i/>
          <w:iCs/>
          <w:color w:val="000000"/>
          <w:sz w:val="20"/>
          <w:szCs w:val="20"/>
        </w:rPr>
        <w:t>Abstract</w:t>
      </w:r>
      <w:r w:rsidRPr="0070447B">
        <w:rPr>
          <w:rFonts w:eastAsia="MS Mincho"/>
          <w:b w:val="0"/>
          <w:bCs w:val="0"/>
          <w:color w:val="000000"/>
          <w:sz w:val="20"/>
          <w:szCs w:val="20"/>
        </w:rPr>
        <w:t>—</w:t>
      </w:r>
      <w:r w:rsidR="00E7256F" w:rsidRPr="0070447B">
        <w:rPr>
          <w:rFonts w:eastAsia="MS Mincho"/>
          <w:b w:val="0"/>
          <w:bCs w:val="0"/>
          <w:color w:val="000000"/>
          <w:sz w:val="20"/>
          <w:szCs w:val="20"/>
        </w:rPr>
        <w:t xml:space="preserve"> </w:t>
      </w:r>
      <w:r w:rsidR="00B453B2" w:rsidRPr="0070447B">
        <w:rPr>
          <w:rFonts w:eastAsia="MS Mincho"/>
          <w:b w:val="0"/>
          <w:bCs w:val="0"/>
          <w:color w:val="000000"/>
          <w:sz w:val="20"/>
          <w:szCs w:val="20"/>
        </w:rPr>
        <w:t>Forward-looking</w:t>
      </w:r>
      <w:r w:rsidR="00E7256F" w:rsidRPr="0070447B">
        <w:rPr>
          <w:rFonts w:eastAsia="MS Mincho"/>
          <w:b w:val="0"/>
          <w:bCs w:val="0"/>
          <w:color w:val="000000"/>
          <w:sz w:val="20"/>
          <w:szCs w:val="20"/>
        </w:rPr>
        <w:t xml:space="preserve"> strategies </w:t>
      </w:r>
      <w:r w:rsidR="00963AE2" w:rsidRPr="0070447B">
        <w:rPr>
          <w:rFonts w:eastAsia="MS Mincho"/>
          <w:b w:val="0"/>
          <w:bCs w:val="0"/>
          <w:color w:val="000000"/>
          <w:sz w:val="20"/>
          <w:szCs w:val="20"/>
        </w:rPr>
        <w:t xml:space="preserve">for demand management </w:t>
      </w:r>
      <w:r w:rsidR="00056CD9" w:rsidRPr="0070447B">
        <w:rPr>
          <w:rFonts w:eastAsia="MS Mincho"/>
          <w:b w:val="0"/>
          <w:bCs w:val="0"/>
          <w:color w:val="000000"/>
          <w:sz w:val="20"/>
          <w:szCs w:val="20"/>
        </w:rPr>
        <w:t>for</w:t>
      </w:r>
      <w:r w:rsidR="00E7256F" w:rsidRPr="0070447B">
        <w:rPr>
          <w:rFonts w:eastAsia="MS Mincho"/>
          <w:b w:val="0"/>
          <w:bCs w:val="0"/>
          <w:color w:val="000000"/>
          <w:sz w:val="20"/>
          <w:szCs w:val="20"/>
        </w:rPr>
        <w:t xml:space="preserve"> future</w:t>
      </w:r>
      <w:r w:rsidR="00963AE2" w:rsidRPr="0070447B">
        <w:rPr>
          <w:rFonts w:eastAsia="MS Mincho"/>
          <w:b w:val="0"/>
          <w:bCs w:val="0"/>
          <w:color w:val="000000"/>
          <w:sz w:val="20"/>
          <w:szCs w:val="20"/>
        </w:rPr>
        <w:t xml:space="preserve"> electricity</w:t>
      </w:r>
      <w:r w:rsidR="00E7256F" w:rsidRPr="0070447B">
        <w:rPr>
          <w:rFonts w:eastAsia="MS Mincho"/>
          <w:b w:val="0"/>
          <w:bCs w:val="0"/>
          <w:color w:val="000000"/>
          <w:sz w:val="20"/>
          <w:szCs w:val="20"/>
        </w:rPr>
        <w:t xml:space="preserve"> systems </w:t>
      </w:r>
      <w:r w:rsidR="00B453B2" w:rsidRPr="0070447B">
        <w:rPr>
          <w:rFonts w:eastAsia="MS Mincho"/>
          <w:b w:val="0"/>
          <w:bCs w:val="0"/>
          <w:color w:val="000000"/>
          <w:sz w:val="20"/>
          <w:szCs w:val="20"/>
        </w:rPr>
        <w:t>ha</w:t>
      </w:r>
      <w:r w:rsidR="005243CE" w:rsidRPr="0070447B">
        <w:rPr>
          <w:rFonts w:eastAsia="MS Mincho"/>
          <w:b w:val="0"/>
          <w:bCs w:val="0"/>
          <w:color w:val="000000"/>
          <w:sz w:val="20"/>
          <w:szCs w:val="20"/>
        </w:rPr>
        <w:t>ve</w:t>
      </w:r>
      <w:r w:rsidR="00B453B2" w:rsidRPr="0070447B">
        <w:rPr>
          <w:rFonts w:eastAsia="MS Mincho"/>
          <w:b w:val="0"/>
          <w:bCs w:val="0"/>
          <w:color w:val="000000"/>
          <w:sz w:val="20"/>
          <w:szCs w:val="20"/>
        </w:rPr>
        <w:t xml:space="preserve"> the potential to profoundly accelerate the adoption of renewable electricity</w:t>
      </w:r>
      <w:r w:rsidR="00963AE2" w:rsidRPr="0070447B">
        <w:rPr>
          <w:rFonts w:eastAsia="MS Mincho"/>
          <w:b w:val="0"/>
          <w:bCs w:val="0"/>
          <w:color w:val="000000"/>
          <w:sz w:val="20"/>
          <w:szCs w:val="20"/>
        </w:rPr>
        <w:t xml:space="preserve">. </w:t>
      </w:r>
      <w:r w:rsidR="009F4EC8" w:rsidRPr="0070447B">
        <w:rPr>
          <w:rFonts w:eastAsia="MS Mincho"/>
          <w:b w:val="0"/>
          <w:bCs w:val="0"/>
          <w:color w:val="000000"/>
          <w:sz w:val="20"/>
          <w:szCs w:val="20"/>
        </w:rPr>
        <w:t xml:space="preserve">Time-varying rates are increasingly used to motivate load shifting, capitalizing on the increasing size of loads that can be easily shifted, such as electric vehicle charging and electric heat pumps. </w:t>
      </w:r>
      <w:r w:rsidR="00963AE2" w:rsidRPr="0070447B">
        <w:rPr>
          <w:rFonts w:eastAsia="MS Mincho"/>
          <w:b w:val="0"/>
          <w:bCs w:val="0"/>
          <w:color w:val="000000"/>
          <w:sz w:val="20"/>
          <w:szCs w:val="20"/>
        </w:rPr>
        <w:t>This study analyze</w:t>
      </w:r>
      <w:r w:rsidR="00B453B2" w:rsidRPr="0070447B">
        <w:rPr>
          <w:rFonts w:eastAsia="MS Mincho"/>
          <w:b w:val="0"/>
          <w:bCs w:val="0"/>
          <w:color w:val="000000"/>
          <w:sz w:val="20"/>
          <w:szCs w:val="20"/>
        </w:rPr>
        <w:t xml:space="preserve">s the time-of-day availability of renewable electricity seen today and anticipated for tomorrow for </w:t>
      </w:r>
      <w:r w:rsidR="00C93B14" w:rsidRPr="0070447B">
        <w:rPr>
          <w:rFonts w:eastAsia="MS Mincho"/>
          <w:b w:val="0"/>
          <w:bCs w:val="0"/>
          <w:color w:val="000000"/>
          <w:sz w:val="20"/>
          <w:szCs w:val="20"/>
        </w:rPr>
        <w:t xml:space="preserve">two representative </w:t>
      </w:r>
      <w:r w:rsidR="00B453B2" w:rsidRPr="0070447B">
        <w:rPr>
          <w:rFonts w:eastAsia="MS Mincho"/>
          <w:b w:val="0"/>
          <w:bCs w:val="0"/>
          <w:color w:val="000000"/>
          <w:sz w:val="20"/>
          <w:szCs w:val="20"/>
        </w:rPr>
        <w:t>grid</w:t>
      </w:r>
      <w:r w:rsidR="009F4EC8" w:rsidRPr="0070447B">
        <w:rPr>
          <w:rFonts w:eastAsia="MS Mincho"/>
          <w:b w:val="0"/>
          <w:bCs w:val="0"/>
          <w:color w:val="000000"/>
          <w:sz w:val="20"/>
          <w:szCs w:val="20"/>
        </w:rPr>
        <w:t>s</w:t>
      </w:r>
      <w:r w:rsidR="00B453B2" w:rsidRPr="0070447B">
        <w:rPr>
          <w:rFonts w:eastAsia="MS Mincho"/>
          <w:b w:val="0"/>
          <w:bCs w:val="0"/>
          <w:color w:val="000000"/>
          <w:sz w:val="20"/>
          <w:szCs w:val="20"/>
        </w:rPr>
        <w:t xml:space="preserve"> that </w:t>
      </w:r>
      <w:r w:rsidR="009F4EC8" w:rsidRPr="0070447B">
        <w:rPr>
          <w:rFonts w:eastAsia="MS Mincho"/>
          <w:b w:val="0"/>
          <w:bCs w:val="0"/>
          <w:color w:val="000000"/>
          <w:sz w:val="20"/>
          <w:szCs w:val="20"/>
        </w:rPr>
        <w:t>are</w:t>
      </w:r>
      <w:r w:rsidR="00B453B2" w:rsidRPr="0070447B">
        <w:rPr>
          <w:rFonts w:eastAsia="MS Mincho"/>
          <w:b w:val="0"/>
          <w:bCs w:val="0"/>
          <w:color w:val="000000"/>
          <w:sz w:val="20"/>
          <w:szCs w:val="20"/>
        </w:rPr>
        <w:t xml:space="preserve"> moving toward high penetration of renewable electricity. </w:t>
      </w:r>
      <w:r w:rsidR="00C93B14" w:rsidRPr="0070447B">
        <w:rPr>
          <w:rFonts w:eastAsia="MS Mincho"/>
          <w:b w:val="0"/>
          <w:bCs w:val="0"/>
          <w:color w:val="000000"/>
          <w:sz w:val="20"/>
          <w:szCs w:val="20"/>
        </w:rPr>
        <w:t xml:space="preserve">While many demand management programs </w:t>
      </w:r>
      <w:r w:rsidR="00F86702">
        <w:rPr>
          <w:rFonts w:eastAsia="MS Mincho"/>
          <w:b w:val="0"/>
          <w:bCs w:val="0"/>
          <w:color w:val="000000"/>
          <w:sz w:val="20"/>
          <w:szCs w:val="20"/>
        </w:rPr>
        <w:t>currently</w:t>
      </w:r>
      <w:r w:rsidR="00C93B14" w:rsidRPr="0070447B">
        <w:rPr>
          <w:rFonts w:eastAsia="MS Mincho"/>
          <w:b w:val="0"/>
          <w:bCs w:val="0"/>
          <w:color w:val="000000"/>
          <w:sz w:val="20"/>
          <w:szCs w:val="20"/>
        </w:rPr>
        <w:t xml:space="preserve"> are designed to shift load to nighttime when </w:t>
      </w:r>
      <w:r w:rsidR="000425F9">
        <w:rPr>
          <w:rFonts w:eastAsia="MS Mincho"/>
          <w:b w:val="0"/>
          <w:bCs w:val="0"/>
          <w:color w:val="000000"/>
          <w:sz w:val="20"/>
          <w:szCs w:val="20"/>
        </w:rPr>
        <w:t>demand</w:t>
      </w:r>
      <w:r w:rsidR="00C93B14" w:rsidRPr="0070447B">
        <w:rPr>
          <w:rFonts w:eastAsia="MS Mincho"/>
          <w:b w:val="0"/>
          <w:bCs w:val="0"/>
          <w:color w:val="000000"/>
          <w:sz w:val="20"/>
          <w:szCs w:val="20"/>
        </w:rPr>
        <w:t xml:space="preserve"> is low, we show that shifting load to daytime will provide the lowest cost solution in the future</w:t>
      </w:r>
      <w:r w:rsidR="00CD610A">
        <w:rPr>
          <w:rFonts w:eastAsia="MS Mincho"/>
          <w:b w:val="0"/>
          <w:bCs w:val="0"/>
          <w:color w:val="000000"/>
          <w:sz w:val="20"/>
          <w:szCs w:val="20"/>
        </w:rPr>
        <w:t xml:space="preserve"> </w:t>
      </w:r>
      <w:r w:rsidR="00CD610A" w:rsidRPr="00CD610A">
        <w:rPr>
          <w:rFonts w:eastAsia="MS Mincho"/>
          <w:b w:val="0"/>
          <w:bCs w:val="0"/>
          <w:color w:val="000000"/>
          <w:sz w:val="20"/>
          <w:szCs w:val="20"/>
        </w:rPr>
        <w:t>for grids with significant</w:t>
      </w:r>
      <w:r w:rsidR="00CD610A">
        <w:rPr>
          <w:rFonts w:eastAsia="MS Mincho"/>
          <w:b w:val="0"/>
          <w:bCs w:val="0"/>
          <w:color w:val="000000"/>
          <w:sz w:val="20"/>
          <w:szCs w:val="20"/>
        </w:rPr>
        <w:t xml:space="preserve"> solar penetration</w:t>
      </w:r>
      <w:r w:rsidR="00C93B14" w:rsidRPr="0070447B">
        <w:rPr>
          <w:rFonts w:eastAsia="MS Mincho"/>
          <w:b w:val="0"/>
          <w:bCs w:val="0"/>
          <w:color w:val="000000"/>
          <w:sz w:val="20"/>
          <w:szCs w:val="20"/>
        </w:rPr>
        <w:t>. Given that investments in electricity generation capacity shape the grid for decades to come, capacity expansion planning should anticipate how demand management programs (and associated load shapes) will change in the future</w:t>
      </w:r>
      <w:r w:rsidR="00EE1780" w:rsidRPr="0070447B">
        <w:rPr>
          <w:rFonts w:eastAsia="MS Mincho"/>
          <w:b w:val="0"/>
          <w:bCs w:val="0"/>
          <w:color w:val="000000"/>
          <w:sz w:val="20"/>
          <w:szCs w:val="20"/>
        </w:rPr>
        <w:t xml:space="preserve"> and that the simple guideline of shifting loads to times when the sun is up will give the best results</w:t>
      </w:r>
      <w:r w:rsidR="007A5C32">
        <w:rPr>
          <w:rFonts w:eastAsia="MS Mincho"/>
          <w:b w:val="0"/>
          <w:bCs w:val="0"/>
          <w:color w:val="000000"/>
          <w:sz w:val="20"/>
          <w:szCs w:val="20"/>
        </w:rPr>
        <w:t xml:space="preserve"> for most locations</w:t>
      </w:r>
      <w:r w:rsidR="00EE1780" w:rsidRPr="0070447B">
        <w:rPr>
          <w:rFonts w:eastAsia="MS Mincho"/>
          <w:b w:val="0"/>
          <w:bCs w:val="0"/>
          <w:color w:val="000000"/>
          <w:sz w:val="20"/>
          <w:szCs w:val="20"/>
        </w:rPr>
        <w:t>, both for cost and cleanliness of the grid</w:t>
      </w:r>
      <w:r w:rsidR="00C93B14" w:rsidRPr="0070447B">
        <w:rPr>
          <w:rFonts w:eastAsia="MS Mincho"/>
          <w:b w:val="0"/>
          <w:bCs w:val="0"/>
          <w:color w:val="000000"/>
          <w:sz w:val="20"/>
          <w:szCs w:val="20"/>
        </w:rPr>
        <w:t xml:space="preserve">. </w:t>
      </w:r>
    </w:p>
    <w:p w14:paraId="0B5408F1" w14:textId="77777777" w:rsidR="00F30FD8" w:rsidRPr="0070447B" w:rsidRDefault="00F30FD8" w:rsidP="00A65B9F">
      <w:pPr>
        <w:pStyle w:val="Abstract"/>
        <w:rPr>
          <w:rFonts w:eastAsia="MS Mincho"/>
          <w:b w:val="0"/>
          <w:bCs w:val="0"/>
          <w:color w:val="000000"/>
          <w:sz w:val="20"/>
          <w:szCs w:val="20"/>
        </w:rPr>
      </w:pPr>
    </w:p>
    <w:p w14:paraId="31E7C5C4" w14:textId="6BB3A5D0" w:rsidR="00FC0992" w:rsidRPr="0070447B" w:rsidRDefault="00FC0992">
      <w:pPr>
        <w:pStyle w:val="Abstract"/>
        <w:rPr>
          <w:rFonts w:eastAsia="MS Mincho"/>
          <w:color w:val="000000"/>
        </w:rPr>
      </w:pPr>
      <w:r w:rsidRPr="0070447B">
        <w:rPr>
          <w:i/>
          <w:color w:val="000000"/>
        </w:rPr>
        <w:t>Index Terms</w:t>
      </w:r>
      <w:r w:rsidR="00AB7CE9" w:rsidRPr="0070447B">
        <w:rPr>
          <w:color w:val="000000"/>
        </w:rPr>
        <w:t>—EV charging, demand response, load management, renewable</w:t>
      </w:r>
      <w:r w:rsidR="00FF0EF3">
        <w:rPr>
          <w:color w:val="000000"/>
        </w:rPr>
        <w:t xml:space="preserve"> energy</w:t>
      </w:r>
      <w:r w:rsidR="00AB7CE9" w:rsidRPr="0070447B">
        <w:rPr>
          <w:color w:val="000000"/>
        </w:rPr>
        <w:t>.</w:t>
      </w:r>
    </w:p>
    <w:p w14:paraId="239ABD3B" w14:textId="77777777" w:rsidR="00F30FD8" w:rsidRDefault="00F30FD8" w:rsidP="0013606F">
      <w:pPr>
        <w:pStyle w:val="Heading1"/>
        <w:rPr>
          <w:color w:val="000000"/>
        </w:rPr>
      </w:pPr>
      <w:r>
        <w:rPr>
          <w:color w:val="000000"/>
        </w:rPr>
        <w:t xml:space="preserve">Introduction </w:t>
      </w:r>
    </w:p>
    <w:p w14:paraId="7F5D9F51" w14:textId="35474BA9" w:rsidR="006D7BC3" w:rsidRDefault="006D7BC3" w:rsidP="00F974E3">
      <w:pPr>
        <w:rPr>
          <w:color w:val="000000"/>
        </w:rPr>
      </w:pPr>
      <w:r>
        <w:rPr>
          <w:color w:val="000000"/>
        </w:rPr>
        <w:t xml:space="preserve">With growing demand for electricity, including soaring investment in electric vehicles (EVs) </w:t>
      </w:r>
      <w:r w:rsidR="00596C9D">
        <w:rPr>
          <w:color w:val="000000"/>
        </w:rPr>
        <w:fldChar w:fldCharType="begin"/>
      </w:r>
      <w:r w:rsidR="00BC298F">
        <w:rPr>
          <w:color w:val="000000"/>
        </w:rPr>
        <w:instrText xml:space="preserve"> ADDIN EN.CITE &lt;EndNote&gt;&lt;Cite&gt;&lt;Author&gt;IEA&lt;/Author&gt;&lt;Year&gt;2022&lt;/Year&gt;&lt;RecNum&gt;34&lt;/RecNum&gt;&lt;DisplayText&gt;[1]&lt;/DisplayText&gt;&lt;record&gt;&lt;rec-number&gt;34&lt;/rec-number&gt;&lt;foreign-keys&gt;&lt;key app="EN" db-id="0t5529r5t9fw5eeevs6pvsf7zetpxrvxx2we" timestamp="1684999619"&gt;34&lt;/key&gt;&lt;/foreign-keys&gt;&lt;ref-type name="Web Page"&gt;12&lt;/ref-type&gt;&lt;contributors&gt;&lt;authors&gt;&lt;author&gt;International Energy Agency (IEA),&lt;/author&gt;&lt;/authors&gt;&lt;/contributors&gt;&lt;titles&gt;&lt;title&gt;Global EV Outlook 2022&lt;/title&gt;&lt;/titles&gt;&lt;volume&gt;2023&lt;/volume&gt;&lt;number&gt;May 24&lt;/number&gt;&lt;dates&gt;&lt;year&gt;2022&lt;/year&gt;&lt;/dates&gt;&lt;pub-location&gt;Paris&lt;/pub-location&gt;&lt;publisher&gt;IEA&lt;/publisher&gt;&lt;urls&gt;&lt;related-urls&gt;&lt;url&gt;https://www.iea.org/reports/global-ev-outlook-2022/trends-in-electric-light-duty-vehicles&lt;/url&gt;&lt;/related-urls&gt;&lt;/urls&gt;&lt;/record&gt;&lt;/Cite&gt;&lt;/EndNote&gt;</w:instrText>
      </w:r>
      <w:r w:rsidR="00596C9D">
        <w:rPr>
          <w:color w:val="000000"/>
        </w:rPr>
        <w:fldChar w:fldCharType="separate"/>
      </w:r>
      <w:r w:rsidR="00596C9D">
        <w:rPr>
          <w:noProof/>
          <w:color w:val="000000"/>
        </w:rPr>
        <w:t>[1]</w:t>
      </w:r>
      <w:r w:rsidR="00596C9D">
        <w:rPr>
          <w:color w:val="000000"/>
        </w:rPr>
        <w:fldChar w:fldCharType="end"/>
      </w:r>
      <w:r>
        <w:rPr>
          <w:color w:val="000000"/>
        </w:rPr>
        <w:t xml:space="preserve">, heat pumps </w:t>
      </w:r>
      <w:r w:rsidR="00596C9D">
        <w:rPr>
          <w:color w:val="000000"/>
        </w:rPr>
        <w:fldChar w:fldCharType="begin"/>
      </w:r>
      <w:r w:rsidR="00BC298F">
        <w:rPr>
          <w:color w:val="000000"/>
        </w:rPr>
        <w:instrText xml:space="preserve"> ADDIN EN.CITE &lt;EndNote&gt;&lt;Cite&gt;&lt;Author&gt;IEA&lt;/Author&gt;&lt;Year&gt;2022&lt;/Year&gt;&lt;RecNum&gt;35&lt;/RecNum&gt;&lt;DisplayText&gt;[2]&lt;/DisplayText&gt;&lt;record&gt;&lt;rec-number&gt;35&lt;/rec-number&gt;&lt;foreign-keys&gt;&lt;key app="EN" db-id="0t5529r5t9fw5eeevs6pvsf7zetpxrvxx2we" timestamp="1684999759"&gt;35&lt;/key&gt;&lt;/foreign-keys&gt;&lt;ref-type name="Web Page"&gt;12&lt;/ref-type&gt;&lt;contributors&gt;&lt;authors&gt;&lt;author&gt;International Energy Agency (IEA),&lt;/author&gt;&lt;/authors&gt;&lt;/contributors&gt;&lt;titles&gt;&lt;title&gt;The Future of Heat Pumps&lt;/title&gt;&lt;/titles&gt;&lt;volume&gt;2023&lt;/volume&gt;&lt;number&gt;May 24&lt;/number&gt;&lt;dates&gt;&lt;year&gt;2022&lt;/year&gt;&lt;/dates&gt;&lt;pub-location&gt;Paris&lt;/pub-location&gt;&lt;publisher&gt;IEA&lt;/publisher&gt;&lt;urls&gt;&lt;related-urls&gt;&lt;url&gt;https://www.iea.org/reports/the-future-of-heat-pumps/executive-summary&lt;/url&gt;&lt;/related-urls&gt;&lt;/urls&gt;&lt;/record&gt;&lt;/Cite&gt;&lt;/EndNote&gt;</w:instrText>
      </w:r>
      <w:r w:rsidR="00596C9D">
        <w:rPr>
          <w:color w:val="000000"/>
        </w:rPr>
        <w:fldChar w:fldCharType="separate"/>
      </w:r>
      <w:r w:rsidR="00596C9D">
        <w:rPr>
          <w:noProof/>
          <w:color w:val="000000"/>
        </w:rPr>
        <w:t>[2]</w:t>
      </w:r>
      <w:r w:rsidR="00596C9D">
        <w:rPr>
          <w:color w:val="000000"/>
        </w:rPr>
        <w:fldChar w:fldCharType="end"/>
      </w:r>
      <w:r>
        <w:rPr>
          <w:color w:val="000000"/>
        </w:rPr>
        <w:t xml:space="preserve">, and </w:t>
      </w:r>
      <w:proofErr w:type="spellStart"/>
      <w:r>
        <w:rPr>
          <w:color w:val="000000"/>
        </w:rPr>
        <w:t>electrolyzers</w:t>
      </w:r>
      <w:proofErr w:type="spellEnd"/>
      <w:r>
        <w:rPr>
          <w:color w:val="000000"/>
        </w:rPr>
        <w:t xml:space="preserve">, most utilities are planning to expand their available electricity generating capacity. </w:t>
      </w:r>
      <w:r w:rsidR="00611EA4">
        <w:rPr>
          <w:color w:val="000000"/>
        </w:rPr>
        <w:t>Interc</w:t>
      </w:r>
      <w:r>
        <w:rPr>
          <w:color w:val="000000"/>
        </w:rPr>
        <w:t xml:space="preserve">onnection queues are considering projects that could more than double the electricity generating capacity in the United States </w:t>
      </w:r>
      <w:r w:rsidR="00340934">
        <w:rPr>
          <w:color w:val="000000"/>
        </w:rPr>
        <w:fldChar w:fldCharType="begin"/>
      </w:r>
      <w:r w:rsidR="00340934">
        <w:rPr>
          <w:color w:val="000000"/>
        </w:rPr>
        <w:instrText xml:space="preserve"> ADDIN EN.CITE &lt;EndNote&gt;&lt;Cite&gt;&lt;Author&gt;Rand&lt;/Author&gt;&lt;Year&gt;2022&lt;/Year&gt;&lt;RecNum&gt;36&lt;/RecNum&gt;&lt;DisplayText&gt;[3]&lt;/DisplayText&gt;&lt;record&gt;&lt;rec-number&gt;36&lt;/rec-number&gt;&lt;foreign-keys&gt;&lt;key app="EN" db-id="0t5529r5t9fw5eeevs6pvsf7zetpxrvxx2we" timestamp="1685000004"&gt;36&lt;/key&gt;&lt;/foreign-keys&gt;&lt;ref-type name="Report"&gt;27&lt;/ref-type&gt;&lt;contributors&gt;&lt;authors&gt;&lt;author&gt;Rand, Joseph&lt;/author&gt;&lt;author&gt;Wiser, Ryan H&lt;/author&gt;&lt;author&gt;Gorman, Will&lt;/author&gt;&lt;author&gt;Millstein, Dev&lt;/author&gt;&lt;author&gt;Seel, Joachim&lt;/author&gt;&lt;author&gt;Jeong, Seongeun&lt;/author&gt;&lt;author&gt;Robson, Dana&lt;/author&gt;&lt;/authors&gt;&lt;/contributors&gt;&lt;titles&gt;&lt;title&gt;Queued up: Characteristics of power plants seeking transmission interconnection as of the end of 2021&lt;/title&gt;&lt;/titles&gt;&lt;dates&gt;&lt;year&gt;2022&lt;/year&gt;&lt;/dates&gt;&lt;publisher&gt;Lawrence Berkeley National Lab.(LBNL), Berkeley, CA (United States)&lt;/publisher&gt;&lt;urls&gt;&lt;/urls&gt;&lt;/record&gt;&lt;/Cite&gt;&lt;/EndNote&gt;</w:instrText>
      </w:r>
      <w:r w:rsidR="00340934">
        <w:rPr>
          <w:color w:val="000000"/>
        </w:rPr>
        <w:fldChar w:fldCharType="separate"/>
      </w:r>
      <w:r w:rsidR="00340934">
        <w:rPr>
          <w:noProof/>
          <w:color w:val="000000"/>
        </w:rPr>
        <w:t>[3]</w:t>
      </w:r>
      <w:r w:rsidR="00340934">
        <w:rPr>
          <w:color w:val="000000"/>
        </w:rPr>
        <w:fldChar w:fldCharType="end"/>
      </w:r>
      <w:r>
        <w:rPr>
          <w:color w:val="000000"/>
        </w:rPr>
        <w:t xml:space="preserve"> and elsewhere </w:t>
      </w:r>
      <w:r w:rsidR="00340934">
        <w:rPr>
          <w:color w:val="000000"/>
        </w:rPr>
        <w:fldChar w:fldCharType="begin"/>
      </w:r>
      <w:r w:rsidR="00BC298F">
        <w:rPr>
          <w:color w:val="000000"/>
        </w:rPr>
        <w:instrText xml:space="preserve"> ADDIN EN.CITE &lt;EndNote&gt;&lt;Cite&gt;&lt;Year&gt;2022&lt;/Year&gt;&lt;RecNum&gt;37&lt;/RecNum&gt;&lt;DisplayText&gt;[4]&lt;/DisplayText&gt;&lt;record&gt;&lt;rec-number&gt;37&lt;/rec-number&gt;&lt;foreign-keys&gt;&lt;key app="EN" db-id="0t5529r5t9fw5eeevs6pvsf7zetpxrvxx2we" timestamp="1685000143"&gt;37&lt;/key&gt;&lt;/foreign-keys&gt;&lt;ref-type name="Web Page"&gt;12&lt;/ref-type&gt;&lt;contributors&gt;&lt;authors&gt;&lt;author&gt;European Environment Agency (EEA),&lt;/author&gt;&lt;/authors&gt;&lt;/contributors&gt;&lt;titles&gt;&lt;title&gt;A future based on renewable energy&lt;/title&gt;&lt;/titles&gt;&lt;volume&gt;2023&lt;/volume&gt;&lt;number&gt;24 May&lt;/number&gt;&lt;dates&gt;&lt;year&gt;2022&lt;/year&gt;&lt;/dates&gt;&lt;publisher&gt;EEA&lt;/publisher&gt;&lt;urls&gt;&lt;related-urls&gt;&lt;url&gt;https://www.eea.europa.eu/signals/signals-2022/articles/a-future-based-on-renewable-energy#:~:text=The%20EU%20solar%20energy%20strategy,also%20on%20new%20residential%20buildings.&lt;/url&gt;&lt;/related-urls&gt;&lt;/urls&gt;&lt;/record&gt;&lt;/Cite&gt;&lt;/EndNote&gt;</w:instrText>
      </w:r>
      <w:r w:rsidR="00340934">
        <w:rPr>
          <w:color w:val="000000"/>
        </w:rPr>
        <w:fldChar w:fldCharType="separate"/>
      </w:r>
      <w:r w:rsidR="00340934">
        <w:rPr>
          <w:noProof/>
          <w:color w:val="000000"/>
        </w:rPr>
        <w:t>[4]</w:t>
      </w:r>
      <w:r w:rsidR="00340934">
        <w:rPr>
          <w:color w:val="000000"/>
        </w:rPr>
        <w:fldChar w:fldCharType="end"/>
      </w:r>
      <w:r w:rsidR="00F974E3">
        <w:rPr>
          <w:color w:val="000000"/>
        </w:rPr>
        <w:t xml:space="preserve">. </w:t>
      </w:r>
      <w:r>
        <w:rPr>
          <w:color w:val="000000"/>
        </w:rPr>
        <w:t xml:space="preserve">As these capacity expansion projects are selected, utilities must evaluate whether the new generating capacity will reliably meet </w:t>
      </w:r>
      <w:r w:rsidR="00EE5523">
        <w:rPr>
          <w:color w:val="000000"/>
        </w:rPr>
        <w:t>future</w:t>
      </w:r>
      <w:r>
        <w:rPr>
          <w:color w:val="000000"/>
        </w:rPr>
        <w:t xml:space="preserve"> load profiles. This quickly raises the question of whether tomorrow’s load profiles will take the same shape as today’s profiles, especially as the new loads </w:t>
      </w:r>
      <w:r w:rsidR="000425F9">
        <w:rPr>
          <w:color w:val="000000"/>
        </w:rPr>
        <w:t>have different</w:t>
      </w:r>
      <w:r>
        <w:rPr>
          <w:color w:val="000000"/>
        </w:rPr>
        <w:t xml:space="preserve"> requirements </w:t>
      </w:r>
      <w:r w:rsidR="000425F9">
        <w:rPr>
          <w:color w:val="000000"/>
        </w:rPr>
        <w:t>than</w:t>
      </w:r>
      <w:r>
        <w:rPr>
          <w:color w:val="000000"/>
        </w:rPr>
        <w:t xml:space="preserve"> </w:t>
      </w:r>
      <w:r w:rsidR="00F86702">
        <w:rPr>
          <w:color w:val="000000"/>
        </w:rPr>
        <w:t>existing</w:t>
      </w:r>
      <w:r>
        <w:rPr>
          <w:color w:val="000000"/>
        </w:rPr>
        <w:t xml:space="preserve"> loads.</w:t>
      </w:r>
    </w:p>
    <w:p w14:paraId="45B5E20F" w14:textId="109E1AC9" w:rsidR="006D7BC3" w:rsidRDefault="006D7BC3" w:rsidP="00340934">
      <w:pPr>
        <w:rPr>
          <w:color w:val="000000"/>
        </w:rPr>
      </w:pPr>
      <w:r>
        <w:rPr>
          <w:color w:val="000000"/>
        </w:rPr>
        <w:t xml:space="preserve">Many of the new electrical loads have more flexibility than </w:t>
      </w:r>
      <w:r w:rsidR="00F86702">
        <w:rPr>
          <w:color w:val="000000"/>
        </w:rPr>
        <w:t>existing</w:t>
      </w:r>
      <w:r>
        <w:rPr>
          <w:color w:val="000000"/>
        </w:rPr>
        <w:t xml:space="preserve"> loads. For these, demand</w:t>
      </w:r>
      <w:r w:rsidR="000425F9">
        <w:rPr>
          <w:color w:val="000000"/>
        </w:rPr>
        <w:t>-</w:t>
      </w:r>
      <w:r>
        <w:rPr>
          <w:color w:val="000000"/>
        </w:rPr>
        <w:t>side</w:t>
      </w:r>
      <w:r w:rsidR="000425F9">
        <w:rPr>
          <w:color w:val="000000"/>
        </w:rPr>
        <w:t>-</w:t>
      </w:r>
      <w:r>
        <w:rPr>
          <w:color w:val="000000"/>
        </w:rPr>
        <w:t xml:space="preserve">management programs are already being implemented to encourage electricity use when it’s most convenient for the grid. Demand response that shifts load is possible when loads are flexible – an electric vehicle is </w:t>
      </w:r>
      <w:r w:rsidR="000425F9">
        <w:rPr>
          <w:color w:val="000000"/>
        </w:rPr>
        <w:t>usually</w:t>
      </w:r>
      <w:r>
        <w:rPr>
          <w:color w:val="000000"/>
        </w:rPr>
        <w:t xml:space="preserve"> a flexible load because a vehicle can be charged whenever it’s parked, while </w:t>
      </w:r>
      <w:r w:rsidR="00FF0EF3">
        <w:rPr>
          <w:color w:val="000000"/>
        </w:rPr>
        <w:t>most of today’s loads (</w:t>
      </w:r>
      <w:proofErr w:type="gramStart"/>
      <w:r w:rsidR="00FF0EF3" w:rsidRPr="00583A0F">
        <w:rPr>
          <w:i/>
          <w:iCs/>
          <w:color w:val="000000"/>
        </w:rPr>
        <w:t>e.g</w:t>
      </w:r>
      <w:r w:rsidR="00FF0EF3">
        <w:rPr>
          <w:color w:val="000000"/>
        </w:rPr>
        <w:t>.</w:t>
      </w:r>
      <w:proofErr w:type="gramEnd"/>
      <w:r w:rsidR="00FF0EF3">
        <w:rPr>
          <w:color w:val="000000"/>
        </w:rPr>
        <w:t xml:space="preserve"> </w:t>
      </w:r>
      <w:r>
        <w:rPr>
          <w:color w:val="000000"/>
        </w:rPr>
        <w:t>lighting</w:t>
      </w:r>
      <w:r w:rsidR="00FF0EF3">
        <w:rPr>
          <w:color w:val="000000"/>
        </w:rPr>
        <w:t>)</w:t>
      </w:r>
      <w:r>
        <w:rPr>
          <w:color w:val="000000"/>
        </w:rPr>
        <w:t xml:space="preserve"> </w:t>
      </w:r>
      <w:r w:rsidR="00FF0EF3">
        <w:rPr>
          <w:color w:val="000000"/>
        </w:rPr>
        <w:t xml:space="preserve">are </w:t>
      </w:r>
      <w:r>
        <w:rPr>
          <w:color w:val="000000"/>
        </w:rPr>
        <w:t xml:space="preserve">usually inflexible. In the US, interests in </w:t>
      </w:r>
      <w:r w:rsidR="000425F9">
        <w:rPr>
          <w:color w:val="000000"/>
        </w:rPr>
        <w:t xml:space="preserve">demand-response and load-management programs </w:t>
      </w:r>
      <w:proofErr w:type="spellStart"/>
      <w:r>
        <w:rPr>
          <w:color w:val="000000"/>
        </w:rPr>
        <w:t>programs</w:t>
      </w:r>
      <w:proofErr w:type="spellEnd"/>
      <w:r>
        <w:rPr>
          <w:color w:val="000000"/>
        </w:rPr>
        <w:t xml:space="preserve"> started rising in the 1970s with the emergence of home air-conditioning systems and associated load peaks. </w:t>
      </w:r>
      <w:r w:rsidR="003E4D07">
        <w:rPr>
          <w:color w:val="000000"/>
        </w:rPr>
        <w:t>Subsequently</w:t>
      </w:r>
      <w:r w:rsidRPr="002E3965">
        <w:rPr>
          <w:color w:val="000000"/>
        </w:rPr>
        <w:t>, various management policies, including price-based and direct</w:t>
      </w:r>
      <w:r w:rsidR="003E4D07">
        <w:rPr>
          <w:color w:val="000000"/>
        </w:rPr>
        <w:t>-</w:t>
      </w:r>
      <w:r w:rsidRPr="002E3965">
        <w:rPr>
          <w:color w:val="000000"/>
        </w:rPr>
        <w:t xml:space="preserve">control programs, were implemented to </w:t>
      </w:r>
      <w:r w:rsidR="003E4D07">
        <w:rPr>
          <w:color w:val="000000"/>
        </w:rPr>
        <w:t>reduce</w:t>
      </w:r>
      <w:r w:rsidRPr="002E3965">
        <w:rPr>
          <w:color w:val="000000"/>
        </w:rPr>
        <w:t xml:space="preserve"> load peaks.</w:t>
      </w:r>
      <w:r>
        <w:rPr>
          <w:color w:val="000000"/>
        </w:rPr>
        <w:t xml:space="preserve"> Incentives for time-based pricing such as time-of-use pricing, real-time pricing, critical-peak pricing, and emergency demand response can be used to manage demand response. </w:t>
      </w:r>
      <w:r w:rsidR="003E4D07">
        <w:rPr>
          <w:color w:val="000000"/>
        </w:rPr>
        <w:t>C</w:t>
      </w:r>
      <w:r>
        <w:rPr>
          <w:color w:val="000000"/>
        </w:rPr>
        <w:t xml:space="preserve">ustomers can choose when to use electricity and when not based on the time-varying price of electricity </w:t>
      </w:r>
      <w:r>
        <w:rPr>
          <w:color w:val="000000"/>
        </w:rPr>
        <w:fldChar w:fldCharType="begin"/>
      </w:r>
      <w:r w:rsidR="00340934">
        <w:rPr>
          <w:color w:val="000000"/>
        </w:rPr>
        <w:instrText xml:space="preserve"> ADDIN EN.CITE &lt;EndNote&gt;&lt;Cite&gt;&lt;Author&gt;Eid&lt;/Author&gt;&lt;Year&gt;2016&lt;/Year&gt;&lt;RecNum&gt;1&lt;/RecNum&gt;&lt;DisplayText&gt;[5]&lt;/DisplayText&gt;&lt;record&gt;&lt;rec-number&gt;1&lt;/rec-number&gt;&lt;foreign-keys&gt;&lt;key app="EN" db-id="0t5529r5t9fw5eeevs6pvsf7zetpxrvxx2we" timestamp="1682833472"&gt;1&lt;/key&gt;&lt;/foreign-keys&gt;&lt;ref-type name="Journal Article"&gt;17&lt;/ref-type&gt;&lt;contributors&gt;&lt;authors&gt;&lt;author&gt;Eid, Cherrelle&lt;/author&gt;&lt;author&gt;Koliou, Elta&lt;/author&gt;&lt;author&gt;Valles, Mercedes&lt;/author&gt;&lt;author&gt;Reneses, Javier&lt;/author&gt;&lt;author&gt;Hakvoort, Rudi&lt;/author&gt;&lt;/authors&gt;&lt;/contributors&gt;&lt;titles&gt;&lt;title&gt;Time-based pricing and electricity demand response: Existing barriers and next steps&lt;/title&gt;&lt;secondary-title&gt;Utilities Policy&lt;/secondary-title&gt;&lt;/titles&gt;&lt;periodical&gt;&lt;full-title&gt;Utilities Policy&lt;/full-title&gt;&lt;/periodical&gt;&lt;pages&gt;15-25&lt;/pages&gt;&lt;volume&gt;40&lt;/volume&gt;&lt;dates&gt;&lt;year&gt;2016&lt;/year&gt;&lt;/dates&gt;&lt;isbn&gt;0957-1787&lt;/isbn&gt;&lt;urls&gt;&lt;/urls&gt;&lt;/record&gt;&lt;/Cite&gt;&lt;/EndNote&gt;</w:instrText>
      </w:r>
      <w:r>
        <w:rPr>
          <w:color w:val="000000"/>
        </w:rPr>
        <w:fldChar w:fldCharType="separate"/>
      </w:r>
      <w:r w:rsidR="00340934">
        <w:rPr>
          <w:noProof/>
          <w:color w:val="000000"/>
        </w:rPr>
        <w:t>[5]</w:t>
      </w:r>
      <w:r>
        <w:rPr>
          <w:color w:val="000000"/>
        </w:rPr>
        <w:fldChar w:fldCharType="end"/>
      </w:r>
      <w:r>
        <w:rPr>
          <w:color w:val="000000"/>
        </w:rPr>
        <w:t xml:space="preserve">. </w:t>
      </w:r>
    </w:p>
    <w:p w14:paraId="4D233325" w14:textId="6398B87F" w:rsidR="00401145" w:rsidRDefault="002E3965" w:rsidP="00340934">
      <w:pPr>
        <w:rPr>
          <w:color w:val="000000"/>
        </w:rPr>
      </w:pPr>
      <w:r>
        <w:rPr>
          <w:color w:val="000000"/>
        </w:rPr>
        <w:t>While utility policies</w:t>
      </w:r>
      <w:r w:rsidR="00A4237A">
        <w:rPr>
          <w:color w:val="000000"/>
        </w:rPr>
        <w:t xml:space="preserve"> for demand management</w:t>
      </w:r>
      <w:r>
        <w:rPr>
          <w:color w:val="000000"/>
        </w:rPr>
        <w:t xml:space="preserve"> have </w:t>
      </w:r>
      <w:r w:rsidR="00E37BCE">
        <w:rPr>
          <w:color w:val="000000"/>
        </w:rPr>
        <w:t>traditionally</w:t>
      </w:r>
      <w:r>
        <w:rPr>
          <w:color w:val="000000"/>
        </w:rPr>
        <w:t xml:space="preserve"> been designed to reduce </w:t>
      </w:r>
      <w:r w:rsidR="00E37BCE">
        <w:rPr>
          <w:color w:val="000000"/>
        </w:rPr>
        <w:t xml:space="preserve">grid operating </w:t>
      </w:r>
      <w:r>
        <w:rPr>
          <w:color w:val="000000"/>
        </w:rPr>
        <w:t xml:space="preserve">costs and share </w:t>
      </w:r>
      <w:r w:rsidR="00E37BCE">
        <w:rPr>
          <w:color w:val="000000"/>
        </w:rPr>
        <w:t>the savings</w:t>
      </w:r>
      <w:r>
        <w:rPr>
          <w:color w:val="000000"/>
        </w:rPr>
        <w:t xml:space="preserve"> with </w:t>
      </w:r>
      <w:r w:rsidR="00E37BCE">
        <w:rPr>
          <w:color w:val="000000"/>
        </w:rPr>
        <w:t xml:space="preserve">the </w:t>
      </w:r>
      <w:r>
        <w:rPr>
          <w:color w:val="000000"/>
        </w:rPr>
        <w:t>customer</w:t>
      </w:r>
      <w:r w:rsidR="00E37BCE">
        <w:rPr>
          <w:color w:val="000000"/>
        </w:rPr>
        <w:t>s who enabled the savings</w:t>
      </w:r>
      <w:r>
        <w:rPr>
          <w:color w:val="000000"/>
        </w:rPr>
        <w:t xml:space="preserve">, </w:t>
      </w:r>
      <w:r w:rsidR="00A4237A">
        <w:rPr>
          <w:color w:val="000000"/>
        </w:rPr>
        <w:t xml:space="preserve">interest has been developing to use demand management to </w:t>
      </w:r>
      <w:r w:rsidR="00E37BCE">
        <w:rPr>
          <w:color w:val="000000"/>
        </w:rPr>
        <w:t xml:space="preserve">also </w:t>
      </w:r>
      <w:r w:rsidR="00A4237A">
        <w:rPr>
          <w:color w:val="000000"/>
        </w:rPr>
        <w:t>reduce carbon emission</w:t>
      </w:r>
      <w:r w:rsidR="006D7BC3">
        <w:rPr>
          <w:color w:val="000000"/>
        </w:rPr>
        <w:t>s</w:t>
      </w:r>
      <w:r w:rsidR="00A4237A">
        <w:rPr>
          <w:color w:val="000000"/>
        </w:rPr>
        <w:t xml:space="preserve"> by reducing electricity </w:t>
      </w:r>
      <w:r w:rsidR="00562D9B">
        <w:rPr>
          <w:color w:val="000000"/>
        </w:rPr>
        <w:t>usage</w:t>
      </w:r>
      <w:r w:rsidR="00401145">
        <w:rPr>
          <w:color w:val="000000"/>
        </w:rPr>
        <w:t xml:space="preserve"> when the </w:t>
      </w:r>
      <w:r w:rsidR="00A4237A">
        <w:rPr>
          <w:color w:val="000000"/>
        </w:rPr>
        <w:t xml:space="preserve">most </w:t>
      </w:r>
      <w:r w:rsidR="00401145">
        <w:rPr>
          <w:color w:val="000000"/>
        </w:rPr>
        <w:t>pollut</w:t>
      </w:r>
      <w:r w:rsidR="00A4237A">
        <w:rPr>
          <w:color w:val="000000"/>
        </w:rPr>
        <w:t>ing</w:t>
      </w:r>
      <w:r w:rsidR="00401145">
        <w:rPr>
          <w:color w:val="000000"/>
        </w:rPr>
        <w:t xml:space="preserve"> power plants are active. </w:t>
      </w:r>
      <w:r w:rsidR="007D6B1C">
        <w:rPr>
          <w:color w:val="000000"/>
        </w:rPr>
        <w:t>Design of a</w:t>
      </w:r>
      <w:r w:rsidR="00401145">
        <w:rPr>
          <w:color w:val="000000"/>
        </w:rPr>
        <w:t xml:space="preserve"> demand management </w:t>
      </w:r>
      <w:r w:rsidR="007D6B1C">
        <w:rPr>
          <w:color w:val="000000"/>
        </w:rPr>
        <w:t>system can be quite complicated</w:t>
      </w:r>
      <w:r w:rsidR="00401145">
        <w:rPr>
          <w:color w:val="000000"/>
        </w:rPr>
        <w:t xml:space="preserve">. </w:t>
      </w:r>
      <w:proofErr w:type="spellStart"/>
      <w:r w:rsidR="00401145">
        <w:rPr>
          <w:color w:val="000000"/>
        </w:rPr>
        <w:t>Barbero</w:t>
      </w:r>
      <w:proofErr w:type="spellEnd"/>
      <w:r w:rsidR="00401145">
        <w:rPr>
          <w:color w:val="000000"/>
        </w:rPr>
        <w:t xml:space="preserve"> et al., for example, </w:t>
      </w:r>
      <w:r w:rsidR="00D837D7">
        <w:rPr>
          <w:color w:val="000000"/>
        </w:rPr>
        <w:t>compared two demand aggregator strategies using energy market and weather forecasts as inputs and found that both were successful in reducing CO</w:t>
      </w:r>
      <w:r w:rsidR="00D837D7" w:rsidRPr="00D837D7">
        <w:rPr>
          <w:color w:val="000000"/>
          <w:vertAlign w:val="subscript"/>
        </w:rPr>
        <w:t>2</w:t>
      </w:r>
      <w:r w:rsidR="00D837D7">
        <w:rPr>
          <w:color w:val="000000"/>
        </w:rPr>
        <w:t xml:space="preserve"> emissions as well as cost, but differed in their ease of implementation</w:t>
      </w:r>
      <w:r w:rsidR="00401145">
        <w:rPr>
          <w:color w:val="000000"/>
        </w:rPr>
        <w:t xml:space="preserve"> </w:t>
      </w:r>
      <w:r w:rsidR="00401145">
        <w:rPr>
          <w:color w:val="000000"/>
        </w:rPr>
        <w:fldChar w:fldCharType="begin"/>
      </w:r>
      <w:r w:rsidR="00340934">
        <w:rPr>
          <w:color w:val="000000"/>
        </w:rPr>
        <w:instrText xml:space="preserve"> ADDIN EN.CITE &lt;EndNote&gt;&lt;Cite&gt;&lt;Author&gt;Barbero&lt;/Author&gt;&lt;Year&gt;2020&lt;/Year&gt;&lt;RecNum&gt;2&lt;/RecNum&gt;&lt;DisplayText&gt;[6]&lt;/DisplayText&gt;&lt;record&gt;&lt;rec-number&gt;2&lt;/rec-number&gt;&lt;foreign-keys&gt;&lt;key app="EN" db-id="0t5529r5t9fw5eeevs6pvsf7zetpxrvxx2we" timestamp="1682833627"&gt;2&lt;/key&gt;&lt;/foreign-keys&gt;&lt;ref-type name="Journal Article"&gt;17&lt;/ref-type&gt;&lt;contributors&gt;&lt;authors&gt;&lt;author&gt;Barbero, Mattia&lt;/author&gt;&lt;author&gt;Casals, Lluc Canals&lt;/author&gt;&lt;author&gt;Corchero, Cristina&lt;/author&gt;&lt;/authors&gt;&lt;/contributors&gt;&lt;titles&gt;&lt;title&gt;Comparison between economic and environmental drivers for demand side aggregator&lt;/title&gt;&lt;secondary-title&gt;Utilities Policy&lt;/secondary-title&gt;&lt;/titles&gt;&lt;periodical&gt;&lt;full-title&gt;Utilities Policy&lt;/full-title&gt;&lt;/periodical&gt;&lt;pages&gt;101077&lt;/pages&gt;&lt;volume&gt;65&lt;/volume&gt;&lt;dates&gt;&lt;year&gt;2020&lt;/year&gt;&lt;/dates&gt;&lt;isbn&gt;0957-1787&lt;/isbn&gt;&lt;urls&gt;&lt;/urls&gt;&lt;/record&gt;&lt;/Cite&gt;&lt;/EndNote&gt;</w:instrText>
      </w:r>
      <w:r w:rsidR="00401145">
        <w:rPr>
          <w:color w:val="000000"/>
        </w:rPr>
        <w:fldChar w:fldCharType="separate"/>
      </w:r>
      <w:r w:rsidR="00340934">
        <w:rPr>
          <w:noProof/>
          <w:color w:val="000000"/>
        </w:rPr>
        <w:t>[6]</w:t>
      </w:r>
      <w:r w:rsidR="00401145">
        <w:rPr>
          <w:color w:val="000000"/>
        </w:rPr>
        <w:fldChar w:fldCharType="end"/>
      </w:r>
      <w:r w:rsidR="00401145">
        <w:rPr>
          <w:color w:val="000000"/>
        </w:rPr>
        <w:t xml:space="preserve">. </w:t>
      </w:r>
      <w:r w:rsidR="0076564B">
        <w:rPr>
          <w:noProof/>
          <w:color w:val="000000"/>
        </w:rPr>
        <w:t xml:space="preserve">Albertsen et al. </w:t>
      </w:r>
      <w:r w:rsidR="0076564B">
        <w:rPr>
          <w:color w:val="000000"/>
        </w:rPr>
        <w:fldChar w:fldCharType="begin"/>
      </w:r>
      <w:r w:rsidR="00340934">
        <w:rPr>
          <w:color w:val="000000"/>
        </w:rPr>
        <w:instrText xml:space="preserve"> ADDIN EN.CITE &lt;EndNote&gt;&lt;Cite&gt;&lt;Author&gt;Albertsen&lt;/Author&gt;&lt;Year&gt;2020&lt;/Year&gt;&lt;RecNum&gt;6&lt;/RecNum&gt;&lt;DisplayText&gt;[7]&lt;/DisplayText&gt;&lt;record&gt;&lt;rec-number&gt;6&lt;/rec-number&gt;&lt;foreign-keys&gt;&lt;key app="EN" db-id="0t5529r5t9fw5eeevs6pvsf7zetpxrvxx2we" timestamp="1682834177"&gt;6&lt;/key&gt;&lt;/foreign-keys&gt;&lt;ref-type name="Journal Article"&gt;17&lt;/ref-type&gt;&lt;contributors&gt;&lt;authors&gt;&lt;author&gt;Albertsen, Lau H&lt;/author&gt;&lt;author&gt;Andersen, Mads&lt;/author&gt;&lt;author&gt;Boscán, Luis R&lt;/author&gt;&lt;author&gt;Santos, Athila Q&lt;/author&gt;&lt;/authors&gt;&lt;/contributors&gt;&lt;titles&gt;&lt;title&gt;Implementing dynamic electricity taxation in Denmark&lt;/title&gt;&lt;secondary-title&gt;Energy policy&lt;/secondary-title&gt;&lt;/titles&gt;&lt;periodical&gt;&lt;full-title&gt;Energy Policy&lt;/full-title&gt;&lt;/periodical&gt;&lt;pages&gt;111543&lt;/pages&gt;&lt;volume&gt;143&lt;/volume&gt;&lt;dates&gt;&lt;year&gt;2020&lt;/year&gt;&lt;/dates&gt;&lt;isbn&gt;0301-4215&lt;/isbn&gt;&lt;urls&gt;&lt;/urls&gt;&lt;/record&gt;&lt;/Cite&gt;&lt;/EndNote&gt;</w:instrText>
      </w:r>
      <w:r w:rsidR="0076564B">
        <w:rPr>
          <w:color w:val="000000"/>
        </w:rPr>
        <w:fldChar w:fldCharType="separate"/>
      </w:r>
      <w:r w:rsidR="00340934">
        <w:rPr>
          <w:noProof/>
          <w:color w:val="000000"/>
        </w:rPr>
        <w:t>[7]</w:t>
      </w:r>
      <w:r w:rsidR="0076564B">
        <w:rPr>
          <w:color w:val="000000"/>
        </w:rPr>
        <w:fldChar w:fldCharType="end"/>
      </w:r>
      <w:r w:rsidR="0076564B">
        <w:rPr>
          <w:noProof/>
          <w:color w:val="000000"/>
        </w:rPr>
        <w:t xml:space="preserve"> compared three d</w:t>
      </w:r>
      <w:proofErr w:type="spellStart"/>
      <w:r w:rsidR="00401145">
        <w:rPr>
          <w:color w:val="000000"/>
        </w:rPr>
        <w:t>ynamic</w:t>
      </w:r>
      <w:proofErr w:type="spellEnd"/>
      <w:r w:rsidR="0076564B">
        <w:rPr>
          <w:color w:val="000000"/>
        </w:rPr>
        <w:t xml:space="preserve"> electricity</w:t>
      </w:r>
      <w:r w:rsidR="00401145">
        <w:rPr>
          <w:color w:val="000000"/>
        </w:rPr>
        <w:t xml:space="preserve"> taxation</w:t>
      </w:r>
      <w:r w:rsidR="0076564B">
        <w:rPr>
          <w:color w:val="000000"/>
        </w:rPr>
        <w:t xml:space="preserve"> schemes </w:t>
      </w:r>
      <w:r w:rsidR="0076564B">
        <w:rPr>
          <w:noProof/>
          <w:color w:val="000000"/>
        </w:rPr>
        <w:t>in Denmark</w:t>
      </w:r>
      <w:r w:rsidR="0076564B">
        <w:rPr>
          <w:color w:val="000000"/>
        </w:rPr>
        <w:t xml:space="preserve"> using six metrics and found that it was not possible to select a</w:t>
      </w:r>
      <w:r w:rsidR="00562D9B">
        <w:rPr>
          <w:color w:val="000000"/>
        </w:rPr>
        <w:t xml:space="preserve"> single</w:t>
      </w:r>
      <w:r w:rsidR="0076564B">
        <w:rPr>
          <w:color w:val="000000"/>
        </w:rPr>
        <w:t xml:space="preserve"> optimal solution, though some schemes were more effective than others.</w:t>
      </w:r>
      <w:r w:rsidR="00401145">
        <w:rPr>
          <w:color w:val="000000"/>
        </w:rPr>
        <w:t xml:space="preserve">  </w:t>
      </w:r>
    </w:p>
    <w:p w14:paraId="5A6DE995" w14:textId="1C7639B5" w:rsidR="00401145" w:rsidRDefault="00165BB2" w:rsidP="00340934">
      <w:pPr>
        <w:rPr>
          <w:color w:val="000000"/>
        </w:rPr>
      </w:pPr>
      <w:r>
        <w:rPr>
          <w:color w:val="000000"/>
        </w:rPr>
        <w:lastRenderedPageBreak/>
        <w:t xml:space="preserve">As </w:t>
      </w:r>
      <w:proofErr w:type="spellStart"/>
      <w:r>
        <w:rPr>
          <w:color w:val="000000"/>
        </w:rPr>
        <w:t>Albertsen</w:t>
      </w:r>
      <w:proofErr w:type="spellEnd"/>
      <w:r>
        <w:rPr>
          <w:color w:val="000000"/>
        </w:rPr>
        <w:t>, et al. found, even agreeing upon the metrics used to evaluate a demand</w:t>
      </w:r>
      <w:r w:rsidR="00562D9B">
        <w:rPr>
          <w:color w:val="000000"/>
        </w:rPr>
        <w:t>-</w:t>
      </w:r>
      <w:r>
        <w:rPr>
          <w:color w:val="000000"/>
        </w:rPr>
        <w:t xml:space="preserve">management program’s success can be challenging. </w:t>
      </w:r>
      <w:r w:rsidR="00E37BCE">
        <w:rPr>
          <w:color w:val="000000"/>
        </w:rPr>
        <w:t>Two c</w:t>
      </w:r>
      <w:r>
        <w:rPr>
          <w:color w:val="000000"/>
        </w:rPr>
        <w:t>ommon metrics for evaluating CO</w:t>
      </w:r>
      <w:r w:rsidRPr="00165BB2">
        <w:rPr>
          <w:color w:val="000000"/>
          <w:vertAlign w:val="subscript"/>
        </w:rPr>
        <w:t>2</w:t>
      </w:r>
      <w:r>
        <w:rPr>
          <w:color w:val="000000"/>
        </w:rPr>
        <w:t xml:space="preserve"> emissions reduction </w:t>
      </w:r>
      <w:r w:rsidR="00E37BCE">
        <w:rPr>
          <w:color w:val="000000"/>
        </w:rPr>
        <w:t>are the</w:t>
      </w:r>
      <w:r w:rsidR="00401145">
        <w:rPr>
          <w:color w:val="000000"/>
        </w:rPr>
        <w:t xml:space="preserve"> average carbon</w:t>
      </w:r>
      <w:r w:rsidR="00562D9B">
        <w:rPr>
          <w:color w:val="000000"/>
        </w:rPr>
        <w:t>-</w:t>
      </w:r>
      <w:r w:rsidR="00401145">
        <w:rPr>
          <w:color w:val="000000"/>
        </w:rPr>
        <w:t xml:space="preserve">emissions rate </w:t>
      </w:r>
      <w:r>
        <w:rPr>
          <w:color w:val="000000"/>
        </w:rPr>
        <w:t xml:space="preserve">and </w:t>
      </w:r>
      <w:r w:rsidR="00401145">
        <w:rPr>
          <w:color w:val="000000"/>
        </w:rPr>
        <w:t xml:space="preserve">marginal </w:t>
      </w:r>
      <w:r w:rsidR="00FF0EF3">
        <w:rPr>
          <w:color w:val="000000"/>
        </w:rPr>
        <w:t>carbon-</w:t>
      </w:r>
      <w:r w:rsidR="00401145">
        <w:rPr>
          <w:color w:val="000000"/>
        </w:rPr>
        <w:t xml:space="preserve">emissions rate. Marginal </w:t>
      </w:r>
      <w:r w:rsidR="000E0911">
        <w:rPr>
          <w:color w:val="000000"/>
        </w:rPr>
        <w:t>emissions rate</w:t>
      </w:r>
      <w:r w:rsidR="00E37BCE">
        <w:rPr>
          <w:color w:val="000000"/>
        </w:rPr>
        <w:t>s</w:t>
      </w:r>
      <w:r w:rsidR="00401145">
        <w:rPr>
          <w:color w:val="000000"/>
        </w:rPr>
        <w:t xml:space="preserve"> </w:t>
      </w:r>
      <w:r w:rsidR="000E0911">
        <w:rPr>
          <w:color w:val="000000"/>
        </w:rPr>
        <w:t xml:space="preserve">are of special interest to those attempting to </w:t>
      </w:r>
      <w:r w:rsidR="00562D9B">
        <w:rPr>
          <w:color w:val="000000"/>
        </w:rPr>
        <w:t>reduce</w:t>
      </w:r>
      <w:r w:rsidR="000E0911">
        <w:rPr>
          <w:color w:val="000000"/>
        </w:rPr>
        <w:t xml:space="preserve"> today’s emissions by shifting </w:t>
      </w:r>
      <w:r w:rsidR="00401D99">
        <w:rPr>
          <w:color w:val="000000"/>
        </w:rPr>
        <w:t xml:space="preserve">today’s </w:t>
      </w:r>
      <w:r w:rsidR="00401D99" w:rsidRPr="00AF7561">
        <w:rPr>
          <w:i/>
          <w:iCs/>
          <w:color w:val="000000"/>
        </w:rPr>
        <w:t>demand</w:t>
      </w:r>
      <w:r w:rsidR="00401D99">
        <w:rPr>
          <w:color w:val="000000"/>
        </w:rPr>
        <w:t xml:space="preserve"> </w:t>
      </w:r>
      <w:r w:rsidR="00AF7561">
        <w:rPr>
          <w:color w:val="000000"/>
        </w:rPr>
        <w:t xml:space="preserve">(which the customer can do) </w:t>
      </w:r>
      <w:r w:rsidR="00401D99">
        <w:rPr>
          <w:color w:val="000000"/>
        </w:rPr>
        <w:t xml:space="preserve">as a complement to focusing on </w:t>
      </w:r>
      <w:r w:rsidR="00401D99" w:rsidRPr="00AF7561">
        <w:rPr>
          <w:i/>
          <w:iCs/>
          <w:color w:val="000000"/>
        </w:rPr>
        <w:t>which generator</w:t>
      </w:r>
      <w:r w:rsidR="00401D99">
        <w:rPr>
          <w:color w:val="000000"/>
        </w:rPr>
        <w:t xml:space="preserve"> is chosen</w:t>
      </w:r>
      <w:r w:rsidR="00E37BCE">
        <w:rPr>
          <w:color w:val="000000"/>
        </w:rPr>
        <w:t xml:space="preserve"> to serve that </w:t>
      </w:r>
      <w:r w:rsidR="00AF7561">
        <w:rPr>
          <w:color w:val="000000"/>
        </w:rPr>
        <w:t xml:space="preserve">demand (which is </w:t>
      </w:r>
      <w:proofErr w:type="gramStart"/>
      <w:r w:rsidR="00AF7561">
        <w:rPr>
          <w:color w:val="000000"/>
        </w:rPr>
        <w:t>most commonly controlled</w:t>
      </w:r>
      <w:proofErr w:type="gramEnd"/>
      <w:r w:rsidR="00AF7561">
        <w:rPr>
          <w:color w:val="000000"/>
        </w:rPr>
        <w:t xml:space="preserve"> by a balancing authority)</w:t>
      </w:r>
      <w:r w:rsidR="00401D99">
        <w:rPr>
          <w:color w:val="000000"/>
        </w:rPr>
        <w:t>. The “marginal emissions factor” can be calculated in multiple ways</w:t>
      </w:r>
      <w:r w:rsidR="000E0911">
        <w:rPr>
          <w:color w:val="000000"/>
        </w:rPr>
        <w:t xml:space="preserve"> </w:t>
      </w:r>
      <w:r w:rsidR="00401145">
        <w:rPr>
          <w:color w:val="000000"/>
        </w:rPr>
        <w:fldChar w:fldCharType="begin"/>
      </w:r>
      <w:r w:rsidR="00340934">
        <w:rPr>
          <w:color w:val="000000"/>
        </w:rPr>
        <w:instrText xml:space="preserve"> ADDIN EN.CITE &lt;EndNote&gt;&lt;Cite&gt;&lt;Author&gt;Hawkes&lt;/Author&gt;&lt;Year&gt;2010&lt;/Year&gt;&lt;RecNum&gt;12&lt;/RecNum&gt;&lt;DisplayText&gt;[8]&lt;/DisplayText&gt;&lt;record&gt;&lt;rec-number&gt;12&lt;/rec-number&gt;&lt;foreign-keys&gt;&lt;key app="EN" db-id="0t5529r5t9fw5eeevs6pvsf7zetpxrvxx2we" timestamp="1682921397"&gt;12&lt;/key&gt;&lt;/foreign-keys&gt;&lt;ref-type name="Journal Article"&gt;17&lt;/ref-type&gt;&lt;contributors&gt;&lt;authors&gt;&lt;author&gt;Hawkes, Adam D&lt;/author&gt;&lt;/authors&gt;&lt;/contributors&gt;&lt;titles&gt;&lt;title&gt;Estimating marginal CO2 emissions rates for national electricity systems&lt;/title&gt;&lt;secondary-title&gt;Energy Policy&lt;/secondary-title&gt;&lt;/titles&gt;&lt;periodical&gt;&lt;full-title&gt;Energy Policy&lt;/full-title&gt;&lt;/periodical&gt;&lt;pages&gt;5977-5987&lt;/pages&gt;&lt;volume&gt;38&lt;/volume&gt;&lt;number&gt;10&lt;/number&gt;&lt;dates&gt;&lt;year&gt;2010&lt;/year&gt;&lt;/dates&gt;&lt;isbn&gt;0301-4215&lt;/isbn&gt;&lt;urls&gt;&lt;/urls&gt;&lt;/record&gt;&lt;/Cite&gt;&lt;/EndNote&gt;</w:instrText>
      </w:r>
      <w:r w:rsidR="00401145">
        <w:rPr>
          <w:color w:val="000000"/>
        </w:rPr>
        <w:fldChar w:fldCharType="separate"/>
      </w:r>
      <w:r w:rsidR="00340934">
        <w:rPr>
          <w:noProof/>
          <w:color w:val="000000"/>
        </w:rPr>
        <w:t>[8]</w:t>
      </w:r>
      <w:r w:rsidR="00401145">
        <w:rPr>
          <w:color w:val="000000"/>
        </w:rPr>
        <w:fldChar w:fldCharType="end"/>
      </w:r>
      <w:r w:rsidR="00401145">
        <w:rPr>
          <w:color w:val="000000"/>
        </w:rPr>
        <w:t xml:space="preserve">. </w:t>
      </w:r>
      <w:proofErr w:type="spellStart"/>
      <w:r w:rsidR="00401145">
        <w:rPr>
          <w:color w:val="000000"/>
        </w:rPr>
        <w:t>Thind</w:t>
      </w:r>
      <w:proofErr w:type="spellEnd"/>
      <w:r w:rsidR="00401145">
        <w:rPr>
          <w:color w:val="000000"/>
        </w:rPr>
        <w:t xml:space="preserve"> et al. </w:t>
      </w:r>
      <w:r w:rsidR="00401145">
        <w:rPr>
          <w:color w:val="000000"/>
        </w:rPr>
        <w:fldChar w:fldCharType="begin"/>
      </w:r>
      <w:r w:rsidR="00340934">
        <w:rPr>
          <w:color w:val="000000"/>
        </w:rPr>
        <w:instrText xml:space="preserve"> ADDIN EN.CITE &lt;EndNote&gt;&lt;Cite&gt;&lt;Author&gt;Thind&lt;/Author&gt;&lt;Year&gt;2017&lt;/Year&gt;&lt;RecNum&gt;11&lt;/RecNum&gt;&lt;DisplayText&gt;[9]&lt;/DisplayText&gt;&lt;record&gt;&lt;rec-number&gt;11&lt;/rec-number&gt;&lt;foreign-keys&gt;&lt;key app="EN" db-id="0t5529r5t9fw5eeevs6pvsf7zetpxrvxx2we" timestamp="1682920048"&gt;11&lt;/key&gt;&lt;/foreign-keys&gt;&lt;ref-type name="Journal Article"&gt;17&lt;/ref-type&gt;&lt;contributors&gt;&lt;authors&gt;&lt;author&gt;Thind, Maninder PS&lt;/author&gt;&lt;author&gt;Wilson, Elizabeth J&lt;/author&gt;&lt;author&gt;Azevedo, Inês L&lt;/author&gt;&lt;author&gt;Marshall, Julian D&lt;/author&gt;&lt;/authors&gt;&lt;/contributors&gt;&lt;titles&gt;&lt;title&gt;Marginal emissions factors for electricity generation in the midcontinent ISO&lt;/title&gt;&lt;secondary-title&gt;Environmental science &amp;amp; technology&lt;/secondary-title&gt;&lt;/titles&gt;&lt;periodical&gt;&lt;full-title&gt;Environmental science &amp;amp; technology&lt;/full-title&gt;&lt;/periodical&gt;&lt;pages&gt;14445-14452&lt;/pages&gt;&lt;volume&gt;51&lt;/volume&gt;&lt;number&gt;24&lt;/number&gt;&lt;dates&gt;&lt;year&gt;2017&lt;/year&gt;&lt;/dates&gt;&lt;isbn&gt;0013-936X&lt;/isbn&gt;&lt;urls&gt;&lt;/urls&gt;&lt;/record&gt;&lt;/Cite&gt;&lt;/EndNote&gt;</w:instrText>
      </w:r>
      <w:r w:rsidR="00401145">
        <w:rPr>
          <w:color w:val="000000"/>
        </w:rPr>
        <w:fldChar w:fldCharType="separate"/>
      </w:r>
      <w:r w:rsidR="00340934">
        <w:rPr>
          <w:noProof/>
          <w:color w:val="000000"/>
        </w:rPr>
        <w:t>[9]</w:t>
      </w:r>
      <w:r w:rsidR="00401145">
        <w:rPr>
          <w:color w:val="000000"/>
        </w:rPr>
        <w:fldChar w:fldCharType="end"/>
      </w:r>
      <w:r w:rsidR="00401145">
        <w:rPr>
          <w:color w:val="000000"/>
        </w:rPr>
        <w:t xml:space="preserve"> compared average and marginal emissions </w:t>
      </w:r>
      <w:r w:rsidR="00401D99">
        <w:rPr>
          <w:color w:val="000000"/>
        </w:rPr>
        <w:t xml:space="preserve">factors and found that the two metrics </w:t>
      </w:r>
      <w:r w:rsidR="00FF0EF3">
        <w:rPr>
          <w:color w:val="000000"/>
        </w:rPr>
        <w:t xml:space="preserve">often </w:t>
      </w:r>
      <w:r w:rsidR="00401D99">
        <w:rPr>
          <w:color w:val="000000"/>
        </w:rPr>
        <w:t>differ by a factor of five</w:t>
      </w:r>
      <w:r w:rsidR="00401145">
        <w:rPr>
          <w:color w:val="000000"/>
        </w:rPr>
        <w:t xml:space="preserve">. Huber et al. </w:t>
      </w:r>
      <w:r w:rsidR="00401145">
        <w:rPr>
          <w:color w:val="000000"/>
        </w:rPr>
        <w:fldChar w:fldCharType="begin"/>
      </w:r>
      <w:r w:rsidR="00340934">
        <w:rPr>
          <w:color w:val="000000"/>
        </w:rPr>
        <w:instrText xml:space="preserve"> ADDIN EN.CITE &lt;EndNote&gt;&lt;Cite&gt;&lt;Author&gt;Huber&lt;/Author&gt;&lt;Year&gt;2021&lt;/Year&gt;&lt;RecNum&gt;9&lt;/RecNum&gt;&lt;DisplayText&gt;[10]&lt;/DisplayText&gt;&lt;record&gt;&lt;rec-number&gt;9&lt;/rec-number&gt;&lt;foreign-keys&gt;&lt;key app="EN" db-id="0t5529r5t9fw5eeevs6pvsf7zetpxrvxx2we" timestamp="1682834407"&gt;9&lt;/key&gt;&lt;/foreign-keys&gt;&lt;ref-type name="Journal Article"&gt;17&lt;/ref-type&gt;&lt;contributors&gt;&lt;authors&gt;&lt;author&gt;Huber, Julian&lt;/author&gt;&lt;author&gt;Lohmann, Kai&lt;/author&gt;&lt;author&gt;Schmidt, Marc&lt;/author&gt;&lt;author&gt;Weinhardt, Christof&lt;/author&gt;&lt;/authors&gt;&lt;/contributors&gt;&lt;titles&gt;&lt;title&gt;Carbon efficient smart charging using forecasts of marginal emission factors&lt;/title&gt;&lt;secondary-title&gt;Journal of Cleaner Production&lt;/secondary-title&gt;&lt;/titles&gt;&lt;periodical&gt;&lt;full-title&gt;Journal of Cleaner Production&lt;/full-title&gt;&lt;/periodical&gt;&lt;pages&gt;124766&lt;/pages&gt;&lt;volume&gt;284&lt;/volume&gt;&lt;dates&gt;&lt;year&gt;2021&lt;/year&gt;&lt;/dates&gt;&lt;isbn&gt;0959-6526&lt;/isbn&gt;&lt;urls&gt;&lt;/urls&gt;&lt;/record&gt;&lt;/Cite&gt;&lt;/EndNote&gt;</w:instrText>
      </w:r>
      <w:r w:rsidR="00401145">
        <w:rPr>
          <w:color w:val="000000"/>
        </w:rPr>
        <w:fldChar w:fldCharType="separate"/>
      </w:r>
      <w:r w:rsidR="00340934">
        <w:rPr>
          <w:noProof/>
          <w:color w:val="000000"/>
        </w:rPr>
        <w:t>[10]</w:t>
      </w:r>
      <w:r w:rsidR="00401145">
        <w:rPr>
          <w:color w:val="000000"/>
        </w:rPr>
        <w:fldChar w:fldCharType="end"/>
      </w:r>
      <w:r w:rsidR="00401145">
        <w:rPr>
          <w:color w:val="000000"/>
        </w:rPr>
        <w:t xml:space="preserve"> also calculated marginal emissions </w:t>
      </w:r>
      <w:r w:rsidR="00401D99">
        <w:rPr>
          <w:color w:val="000000"/>
        </w:rPr>
        <w:t xml:space="preserve">factors </w:t>
      </w:r>
      <w:r w:rsidR="00F94EB6">
        <w:rPr>
          <w:color w:val="000000"/>
        </w:rPr>
        <w:t>and</w:t>
      </w:r>
      <w:r w:rsidR="00401D99">
        <w:rPr>
          <w:color w:val="000000"/>
        </w:rPr>
        <w:t xml:space="preserve"> define</w:t>
      </w:r>
      <w:r w:rsidR="00F94EB6">
        <w:rPr>
          <w:color w:val="000000"/>
        </w:rPr>
        <w:t>d</w:t>
      </w:r>
      <w:r w:rsidR="00401D99">
        <w:rPr>
          <w:color w:val="000000"/>
        </w:rPr>
        <w:t xml:space="preserve"> “smart char</w:t>
      </w:r>
      <w:r w:rsidR="00F94EB6">
        <w:rPr>
          <w:color w:val="000000"/>
        </w:rPr>
        <w:t>g</w:t>
      </w:r>
      <w:r w:rsidR="00401D99">
        <w:rPr>
          <w:color w:val="000000"/>
        </w:rPr>
        <w:t>ing” that reduce</w:t>
      </w:r>
      <w:r w:rsidR="00F94EB6">
        <w:rPr>
          <w:color w:val="000000"/>
        </w:rPr>
        <w:t>d</w:t>
      </w:r>
      <w:r w:rsidR="00401D99">
        <w:rPr>
          <w:color w:val="000000"/>
        </w:rPr>
        <w:t xml:space="preserve"> CO</w:t>
      </w:r>
      <w:r w:rsidR="00401D99" w:rsidRPr="00401D99">
        <w:rPr>
          <w:color w:val="000000"/>
          <w:vertAlign w:val="subscript"/>
        </w:rPr>
        <w:t>2</w:t>
      </w:r>
      <w:r w:rsidR="00401D99">
        <w:rPr>
          <w:color w:val="000000"/>
        </w:rPr>
        <w:t xml:space="preserve"> emissions from electric vehicle charging</w:t>
      </w:r>
      <w:r w:rsidR="001129EA">
        <w:rPr>
          <w:color w:val="000000"/>
        </w:rPr>
        <w:t xml:space="preserve"> by 1% to 10%, though </w:t>
      </w:r>
      <w:r w:rsidR="00F94EB6">
        <w:rPr>
          <w:color w:val="000000"/>
        </w:rPr>
        <w:t>the “smart charging”</w:t>
      </w:r>
      <w:r w:rsidR="001129EA">
        <w:rPr>
          <w:color w:val="000000"/>
        </w:rPr>
        <w:t xml:space="preserve"> sometimes increase</w:t>
      </w:r>
      <w:r w:rsidR="00F94EB6">
        <w:rPr>
          <w:color w:val="000000"/>
        </w:rPr>
        <w:t>d</w:t>
      </w:r>
      <w:r w:rsidR="001129EA">
        <w:rPr>
          <w:color w:val="000000"/>
        </w:rPr>
        <w:t xml:space="preserve"> peak loads</w:t>
      </w:r>
      <w:r w:rsidR="00401145">
        <w:rPr>
          <w:color w:val="000000"/>
        </w:rPr>
        <w:t xml:space="preserve">. </w:t>
      </w:r>
    </w:p>
    <w:p w14:paraId="45A6DC7C" w14:textId="3AF2C91A" w:rsidR="00CB69D2" w:rsidRDefault="00BA3974" w:rsidP="00340934">
      <w:pPr>
        <w:pStyle w:val="BodyText"/>
        <w:rPr>
          <w:rFonts w:eastAsia="MS Mincho"/>
          <w:color w:val="000000"/>
        </w:rPr>
      </w:pPr>
      <w:r>
        <w:rPr>
          <w:color w:val="000000"/>
        </w:rPr>
        <w:t xml:space="preserve">While </w:t>
      </w:r>
      <w:r w:rsidR="005B6515">
        <w:rPr>
          <w:color w:val="000000"/>
        </w:rPr>
        <w:t>it’s not clear whether average</w:t>
      </w:r>
      <w:r w:rsidR="00A63343">
        <w:rPr>
          <w:color w:val="000000"/>
        </w:rPr>
        <w:t xml:space="preserve"> </w:t>
      </w:r>
      <w:r w:rsidR="005B6515">
        <w:rPr>
          <w:color w:val="000000"/>
        </w:rPr>
        <w:t xml:space="preserve">or marginal emissions </w:t>
      </w:r>
      <w:r w:rsidR="00A63343">
        <w:rPr>
          <w:color w:val="000000"/>
        </w:rPr>
        <w:t>is</w:t>
      </w:r>
      <w:r w:rsidR="005B6515">
        <w:rPr>
          <w:color w:val="000000"/>
        </w:rPr>
        <w:t xml:space="preserve"> a better metric</w:t>
      </w:r>
      <w:r>
        <w:rPr>
          <w:color w:val="000000"/>
        </w:rPr>
        <w:t xml:space="preserve"> for identifying success of a demand-management system</w:t>
      </w:r>
      <w:r w:rsidR="005B6515">
        <w:rPr>
          <w:color w:val="000000"/>
        </w:rPr>
        <w:t xml:space="preserve">, one could argue that the most important metric is the </w:t>
      </w:r>
      <w:r>
        <w:rPr>
          <w:color w:val="000000"/>
        </w:rPr>
        <w:t xml:space="preserve">emissions </w:t>
      </w:r>
      <w:r w:rsidR="00E862A5">
        <w:rPr>
          <w:color w:val="000000"/>
        </w:rPr>
        <w:t>over multiple years</w:t>
      </w:r>
      <w:r w:rsidR="005B6515">
        <w:rPr>
          <w:color w:val="000000"/>
        </w:rPr>
        <w:t xml:space="preserve">. Gagnon and Cole </w:t>
      </w:r>
      <w:r w:rsidR="005B6515">
        <w:rPr>
          <w:color w:val="000000"/>
        </w:rPr>
        <w:fldChar w:fldCharType="begin"/>
      </w:r>
      <w:r w:rsidR="00340934">
        <w:rPr>
          <w:color w:val="000000"/>
        </w:rPr>
        <w:instrText xml:space="preserve"> ADDIN EN.CITE &lt;EndNote&gt;&lt;Cite&gt;&lt;Author&gt;Gagnon&lt;/Author&gt;&lt;Year&gt;2022&lt;/Year&gt;&lt;RecNum&gt;10&lt;/RecNum&gt;&lt;DisplayText&gt;[11]&lt;/DisplayText&gt;&lt;record&gt;&lt;rec-number&gt;10&lt;/rec-number&gt;&lt;foreign-keys&gt;&lt;key app="EN" db-id="0t5529r5t9fw5eeevs6pvsf7zetpxrvxx2we" timestamp="1682834794"&gt;10&lt;/key&gt;&lt;/foreign-keys&gt;&lt;ref-type name="Journal Article"&gt;17&lt;/ref-type&gt;&lt;contributors&gt;&lt;authors&gt;&lt;author&gt;Gagnon, Pieter&lt;/author&gt;&lt;author&gt;Cole, Wesley&lt;/author&gt;&lt;/authors&gt;&lt;/contributors&gt;&lt;titles&gt;&lt;title&gt;Planning for the evolution of the electric grid with a long-run marginal emission rate&lt;/title&gt;&lt;secondary-title&gt;Iscience&lt;/secondary-title&gt;&lt;/titles&gt;&lt;periodical&gt;&lt;full-title&gt;Iscience&lt;/full-title&gt;&lt;/periodical&gt;&lt;pages&gt;103915&lt;/pages&gt;&lt;volume&gt;25&lt;/volume&gt;&lt;number&gt;3&lt;/number&gt;&lt;dates&gt;&lt;year&gt;2022&lt;/year&gt;&lt;/dates&gt;&lt;isbn&gt;2589-0042&lt;/isbn&gt;&lt;urls&gt;&lt;/urls&gt;&lt;/record&gt;&lt;/Cite&gt;&lt;/EndNote&gt;</w:instrText>
      </w:r>
      <w:r w:rsidR="005B6515">
        <w:rPr>
          <w:color w:val="000000"/>
        </w:rPr>
        <w:fldChar w:fldCharType="separate"/>
      </w:r>
      <w:r w:rsidR="00340934">
        <w:rPr>
          <w:noProof/>
          <w:color w:val="000000"/>
        </w:rPr>
        <w:t>[11]</w:t>
      </w:r>
      <w:r w:rsidR="005B6515">
        <w:rPr>
          <w:color w:val="000000"/>
        </w:rPr>
        <w:fldChar w:fldCharType="end"/>
      </w:r>
      <w:r w:rsidR="005B6515">
        <w:rPr>
          <w:color w:val="000000"/>
        </w:rPr>
        <w:t xml:space="preserve"> </w:t>
      </w:r>
      <w:r w:rsidR="00E862A5">
        <w:rPr>
          <w:color w:val="000000"/>
        </w:rPr>
        <w:t xml:space="preserve">evaluated a “long-run marginal emissions rate” metric, which includes both operational and structural effects, and found that </w:t>
      </w:r>
      <w:r w:rsidR="00A63343">
        <w:rPr>
          <w:color w:val="000000"/>
        </w:rPr>
        <w:t>the “long-run marginal emissions” metric</w:t>
      </w:r>
      <w:r w:rsidR="00E862A5">
        <w:rPr>
          <w:color w:val="000000"/>
        </w:rPr>
        <w:t xml:space="preserve"> correlated </w:t>
      </w:r>
      <w:r w:rsidR="00A63343">
        <w:rPr>
          <w:color w:val="000000"/>
        </w:rPr>
        <w:t>better</w:t>
      </w:r>
      <w:r w:rsidR="00E862A5">
        <w:rPr>
          <w:color w:val="000000"/>
        </w:rPr>
        <w:t xml:space="preserve"> with the observed emissions</w:t>
      </w:r>
      <w:r w:rsidR="00A63343">
        <w:rPr>
          <w:color w:val="000000"/>
        </w:rPr>
        <w:t xml:space="preserve"> than either the average or short-run marginal emissions.</w:t>
      </w:r>
      <w:r w:rsidR="00E862A5">
        <w:rPr>
          <w:color w:val="000000"/>
        </w:rPr>
        <w:t xml:space="preserve"> </w:t>
      </w:r>
      <w:r w:rsidR="00A63343">
        <w:rPr>
          <w:color w:val="000000"/>
        </w:rPr>
        <w:t>Specifically, they modeled</w:t>
      </w:r>
      <w:r w:rsidR="005B6515">
        <w:rPr>
          <w:color w:val="000000"/>
        </w:rPr>
        <w:t xml:space="preserve"> the adoption of new electricity generators across </w:t>
      </w:r>
      <w:proofErr w:type="gramStart"/>
      <w:r w:rsidR="005B6515">
        <w:rPr>
          <w:color w:val="000000"/>
        </w:rPr>
        <w:t>all of</w:t>
      </w:r>
      <w:proofErr w:type="gramEnd"/>
      <w:r w:rsidR="005B6515">
        <w:rPr>
          <w:color w:val="000000"/>
        </w:rPr>
        <w:t xml:space="preserve"> the U.S.</w:t>
      </w:r>
      <w:r w:rsidR="00CB69D2">
        <w:rPr>
          <w:color w:val="000000"/>
        </w:rPr>
        <w:t xml:space="preserve"> between 2022 and 2050</w:t>
      </w:r>
      <w:r w:rsidR="00A63343">
        <w:rPr>
          <w:color w:val="000000"/>
        </w:rPr>
        <w:t xml:space="preserve"> for various load shapes and</w:t>
      </w:r>
      <w:r w:rsidR="005B6515">
        <w:rPr>
          <w:color w:val="000000"/>
        </w:rPr>
        <w:t xml:space="preserve"> concluded that</w:t>
      </w:r>
      <w:r w:rsidR="00A63343">
        <w:rPr>
          <w:color w:val="000000"/>
        </w:rPr>
        <w:t xml:space="preserve"> the</w:t>
      </w:r>
      <w:r w:rsidR="005B6515">
        <w:rPr>
          <w:color w:val="000000"/>
        </w:rPr>
        <w:t xml:space="preserve"> long-run emissions </w:t>
      </w:r>
      <w:r w:rsidR="00A63343">
        <w:rPr>
          <w:color w:val="000000"/>
        </w:rPr>
        <w:t>factor</w:t>
      </w:r>
      <w:r w:rsidR="005B6515">
        <w:rPr>
          <w:color w:val="000000"/>
        </w:rPr>
        <w:t xml:space="preserve"> </w:t>
      </w:r>
      <w:r w:rsidR="00A63343">
        <w:rPr>
          <w:color w:val="000000"/>
        </w:rPr>
        <w:t>was best at tracking</w:t>
      </w:r>
      <w:r w:rsidR="005B6515">
        <w:rPr>
          <w:color w:val="000000"/>
        </w:rPr>
        <w:t xml:space="preserve"> the observed results </w:t>
      </w:r>
      <w:r w:rsidR="00A63343">
        <w:rPr>
          <w:color w:val="000000"/>
        </w:rPr>
        <w:t>of the model</w:t>
      </w:r>
      <w:r w:rsidR="005B6515">
        <w:rPr>
          <w:color w:val="000000"/>
        </w:rPr>
        <w:t>.</w:t>
      </w:r>
      <w:r w:rsidR="00A63343">
        <w:rPr>
          <w:color w:val="000000"/>
        </w:rPr>
        <w:t xml:space="preserve"> While Gagnon and Cole focused their discussion on the best metric for guiding design of demand</w:t>
      </w:r>
      <w:r w:rsidR="00F818F9">
        <w:rPr>
          <w:color w:val="000000"/>
        </w:rPr>
        <w:t>-</w:t>
      </w:r>
      <w:r w:rsidR="00A63343">
        <w:rPr>
          <w:color w:val="000000"/>
        </w:rPr>
        <w:t xml:space="preserve">management programs, their analysis elucidated how the demand profiles that were added for the new loads </w:t>
      </w:r>
      <w:r w:rsidR="00EE5523">
        <w:t>determined which generators were added in the capacity expansion</w:t>
      </w:r>
      <w:r w:rsidR="00A63343">
        <w:rPr>
          <w:color w:val="000000"/>
        </w:rPr>
        <w:t>.</w:t>
      </w:r>
    </w:p>
    <w:p w14:paraId="2D655558" w14:textId="7E90A06E" w:rsidR="005601B9" w:rsidRDefault="00B070A3" w:rsidP="00F31B91">
      <w:pPr>
        <w:pStyle w:val="BodyText"/>
        <w:rPr>
          <w:rFonts w:eastAsia="MS Mincho"/>
          <w:color w:val="000000"/>
        </w:rPr>
      </w:pPr>
      <w:r>
        <w:rPr>
          <w:rFonts w:eastAsia="MS Mincho"/>
          <w:color w:val="000000"/>
        </w:rPr>
        <w:t xml:space="preserve">This paper </w:t>
      </w:r>
      <w:r w:rsidR="005601B9">
        <w:rPr>
          <w:rFonts w:eastAsia="MS Mincho"/>
          <w:color w:val="000000"/>
        </w:rPr>
        <w:t>discusses and further elucidates why Gagnon and Cole found a strong correlation between the shapes of the load profiles they added and the emissions of the associated expanded grid. We start by reviewing how adoption of solar electricity is predicted to be important almost everywhere in the world. We</w:t>
      </w:r>
      <w:r w:rsidR="00BC057E">
        <w:rPr>
          <w:rFonts w:eastAsia="MS Mincho"/>
          <w:color w:val="000000"/>
        </w:rPr>
        <w:t xml:space="preserve"> then</w:t>
      </w:r>
      <w:r w:rsidR="005601B9">
        <w:rPr>
          <w:rFonts w:eastAsia="MS Mincho"/>
          <w:color w:val="000000"/>
        </w:rPr>
        <w:t xml:space="preserve"> present planned solar growth Colorado</w:t>
      </w:r>
      <w:r w:rsidR="00AA6B91">
        <w:rPr>
          <w:rFonts w:eastAsia="MS Mincho"/>
          <w:color w:val="000000"/>
        </w:rPr>
        <w:t>’s grid</w:t>
      </w:r>
      <w:r w:rsidR="005601B9">
        <w:rPr>
          <w:rFonts w:eastAsia="MS Mincho"/>
          <w:color w:val="000000"/>
        </w:rPr>
        <w:t xml:space="preserve">, based on official documents. We evaluate both historical and projected data to identify the cleanliness of the grid for every hour of the year. We compare </w:t>
      </w:r>
      <w:r w:rsidR="007E73A7">
        <w:rPr>
          <w:rFonts w:eastAsia="MS Mincho"/>
          <w:color w:val="000000"/>
        </w:rPr>
        <w:t xml:space="preserve">this result for </w:t>
      </w:r>
      <w:r w:rsidR="005601B9">
        <w:rPr>
          <w:rFonts w:eastAsia="MS Mincho"/>
          <w:color w:val="000000"/>
        </w:rPr>
        <w:t xml:space="preserve">Colorado </w:t>
      </w:r>
      <w:r w:rsidR="007E73A7">
        <w:rPr>
          <w:rFonts w:eastAsia="MS Mincho"/>
          <w:color w:val="000000"/>
        </w:rPr>
        <w:t>(</w:t>
      </w:r>
      <w:r w:rsidR="005601B9">
        <w:rPr>
          <w:rFonts w:eastAsia="MS Mincho"/>
          <w:color w:val="000000"/>
        </w:rPr>
        <w:t xml:space="preserve">which is </w:t>
      </w:r>
      <w:r w:rsidR="007E73A7">
        <w:rPr>
          <w:rFonts w:eastAsia="MS Mincho"/>
          <w:color w:val="000000"/>
        </w:rPr>
        <w:t xml:space="preserve">preparing to expand use of solar electricity) with California (which already </w:t>
      </w:r>
      <w:r w:rsidR="00057E85">
        <w:rPr>
          <w:rFonts w:eastAsia="MS Mincho"/>
          <w:color w:val="000000"/>
        </w:rPr>
        <w:t xml:space="preserve">generates </w:t>
      </w:r>
      <w:r w:rsidR="007E73A7">
        <w:rPr>
          <w:rFonts w:eastAsia="MS Mincho"/>
          <w:color w:val="000000"/>
        </w:rPr>
        <w:t xml:space="preserve">&gt; 25% of electricity from </w:t>
      </w:r>
      <w:r w:rsidR="008A5F7E">
        <w:rPr>
          <w:rFonts w:eastAsia="MS Mincho"/>
          <w:color w:val="000000"/>
        </w:rPr>
        <w:t>solar</w:t>
      </w:r>
      <w:r w:rsidR="007E73A7">
        <w:rPr>
          <w:rFonts w:eastAsia="MS Mincho"/>
          <w:color w:val="000000"/>
        </w:rPr>
        <w:t xml:space="preserve">). We then show how </w:t>
      </w:r>
      <w:r w:rsidR="00F86702">
        <w:rPr>
          <w:rFonts w:eastAsia="MS Mincho"/>
          <w:color w:val="000000"/>
        </w:rPr>
        <w:t>existing</w:t>
      </w:r>
      <w:r w:rsidR="007E73A7">
        <w:rPr>
          <w:rFonts w:eastAsia="MS Mincho"/>
          <w:color w:val="000000"/>
        </w:rPr>
        <w:t xml:space="preserve"> time-of-use rates are designed for </w:t>
      </w:r>
      <w:r w:rsidR="00F86702">
        <w:rPr>
          <w:rFonts w:eastAsia="MS Mincho"/>
          <w:color w:val="000000"/>
        </w:rPr>
        <w:t>the current</w:t>
      </w:r>
      <w:r w:rsidR="007E73A7">
        <w:rPr>
          <w:rFonts w:eastAsia="MS Mincho"/>
          <w:color w:val="000000"/>
        </w:rPr>
        <w:t xml:space="preserve"> grid, </w:t>
      </w:r>
      <w:proofErr w:type="gramStart"/>
      <w:r w:rsidR="007E73A7">
        <w:rPr>
          <w:rFonts w:eastAsia="MS Mincho"/>
          <w:color w:val="000000"/>
        </w:rPr>
        <w:t>lagging behind</w:t>
      </w:r>
      <w:proofErr w:type="gramEnd"/>
      <w:r w:rsidR="007E73A7">
        <w:rPr>
          <w:rFonts w:eastAsia="MS Mincho"/>
          <w:color w:val="000000"/>
        </w:rPr>
        <w:t xml:space="preserve"> the advancement of the grid. We then use the analysis of Gagnon and Cole to show how the choice of the profile for the newly added load will be pivotal in shaping the generation mix in tomorrow’s grid. Finally, we show that data from California suggest that following the strategy of shifting loads to daytime hours simultaneously </w:t>
      </w:r>
      <w:r w:rsidR="008A5F7E">
        <w:rPr>
          <w:rFonts w:eastAsia="MS Mincho"/>
          <w:color w:val="000000"/>
        </w:rPr>
        <w:t>reduces carbon emissions</w:t>
      </w:r>
      <w:r w:rsidR="007E73A7">
        <w:rPr>
          <w:rFonts w:eastAsia="MS Mincho"/>
          <w:color w:val="000000"/>
        </w:rPr>
        <w:t xml:space="preserve"> and </w:t>
      </w:r>
      <w:r w:rsidR="008A5F7E">
        <w:rPr>
          <w:rFonts w:eastAsia="MS Mincho"/>
          <w:color w:val="000000"/>
        </w:rPr>
        <w:t>shifts load</w:t>
      </w:r>
      <w:r w:rsidR="007E73A7">
        <w:rPr>
          <w:rFonts w:eastAsia="MS Mincho"/>
          <w:color w:val="000000"/>
        </w:rPr>
        <w:t xml:space="preserve"> to </w:t>
      </w:r>
      <w:r w:rsidR="008A5F7E">
        <w:rPr>
          <w:rFonts w:eastAsia="MS Mincho"/>
          <w:color w:val="000000"/>
        </w:rPr>
        <w:t xml:space="preserve">times of </w:t>
      </w:r>
      <w:r w:rsidR="007E73A7">
        <w:rPr>
          <w:rFonts w:eastAsia="MS Mincho"/>
          <w:color w:val="000000"/>
        </w:rPr>
        <w:t>lower prices.</w:t>
      </w:r>
    </w:p>
    <w:p w14:paraId="2387D1B5" w14:textId="08803C2E" w:rsidR="00B070A3" w:rsidRDefault="005601B9" w:rsidP="002D7EC2">
      <w:pPr>
        <w:pStyle w:val="Heading1"/>
        <w:rPr>
          <w:color w:val="000000"/>
        </w:rPr>
      </w:pPr>
      <w:r>
        <w:rPr>
          <w:color w:val="000000"/>
        </w:rPr>
        <w:t>Expected importance of solar</w:t>
      </w:r>
      <w:r w:rsidR="008A5F7E">
        <w:rPr>
          <w:color w:val="000000"/>
        </w:rPr>
        <w:t xml:space="preserve"> PV</w:t>
      </w:r>
      <w:r>
        <w:rPr>
          <w:color w:val="000000"/>
        </w:rPr>
        <w:t xml:space="preserve"> to a clean grid</w:t>
      </w:r>
    </w:p>
    <w:p w14:paraId="6173B94C" w14:textId="05606357" w:rsidR="00F76677" w:rsidRDefault="000737B3" w:rsidP="00F974E3">
      <w:pPr>
        <w:pStyle w:val="BodyText"/>
        <w:rPr>
          <w:color w:val="000000"/>
        </w:rPr>
      </w:pPr>
      <w:r>
        <w:rPr>
          <w:color w:val="000000"/>
        </w:rPr>
        <w:t xml:space="preserve">As the cost of solar electricity dropped by about a factor of ten between the late 1990s and around 2015, becoming cost competitive with conventional electricity generation in many locations </w:t>
      </w:r>
      <w:r w:rsidR="00E9071B">
        <w:rPr>
          <w:color w:val="000000"/>
        </w:rPr>
        <w:fldChar w:fldCharType="begin"/>
      </w:r>
      <w:r w:rsidR="00E9071B">
        <w:rPr>
          <w:color w:val="000000"/>
        </w:rPr>
        <w:instrText xml:space="preserve"> ADDIN EN.CITE &lt;EndNote&gt;&lt;Cite&gt;&lt;Author&gt;Haegel&lt;/Author&gt;&lt;Year&gt;2019&lt;/Year&gt;&lt;RecNum&gt;38&lt;/RecNum&gt;&lt;DisplayText&gt;[12]&lt;/DisplayText&gt;&lt;record&gt;&lt;rec-number&gt;38&lt;/rec-number&gt;&lt;foreign-keys&gt;&lt;key app="EN" db-id="0t5529r5t9fw5eeevs6pvsf7zetpxrvxx2we" timestamp="1685000462"&gt;38&lt;/key&gt;&lt;/foreign-keys&gt;&lt;ref-type name="Journal Article"&gt;17&lt;/ref-type&gt;&lt;contributors&gt;&lt;authors&gt;&lt;author&gt;Haegel, Nancy M&lt;/author&gt;&lt;author&gt;Atwater Jr, Harry&lt;/author&gt;&lt;author&gt;Barnes, Teresa&lt;/author&gt;&lt;author&gt;Breyer, Christian&lt;/author&gt;&lt;author&gt;Burrell, Anthony&lt;/author&gt;&lt;author&gt;Chiang, Yet-Ming&lt;/author&gt;&lt;author&gt;De Wolf, Stefaan&lt;/author&gt;&lt;author&gt;Dimmler, Bernhard&lt;/author&gt;&lt;author&gt;Feldman, David&lt;/author&gt;&lt;author&gt;Glunz, Stefan&lt;/author&gt;&lt;/authors&gt;&lt;/contributors&gt;&lt;titles&gt;&lt;title&gt;Terawatt-scale photovoltaics: Transform global energy&lt;/title&gt;&lt;secondary-title&gt;Science&lt;/secondary-title&gt;&lt;/titles&gt;&lt;periodical&gt;&lt;full-title&gt;Science&lt;/full-title&gt;&lt;/periodical&gt;&lt;pages&gt;836-838&lt;/pages&gt;&lt;volume&gt;364&lt;/volume&gt;&lt;number&gt;6443&lt;/number&gt;&lt;dates&gt;&lt;year&gt;2019&lt;/year&gt;&lt;/dates&gt;&lt;isbn&gt;0036-8075&lt;/isbn&gt;&lt;urls&gt;&lt;/urls&gt;&lt;/record&gt;&lt;/Cite&gt;&lt;/EndNote&gt;</w:instrText>
      </w:r>
      <w:r w:rsidR="00E9071B">
        <w:rPr>
          <w:color w:val="000000"/>
        </w:rPr>
        <w:fldChar w:fldCharType="separate"/>
      </w:r>
      <w:r w:rsidR="00E9071B">
        <w:rPr>
          <w:noProof/>
          <w:color w:val="000000"/>
        </w:rPr>
        <w:t>[12]</w:t>
      </w:r>
      <w:r w:rsidR="00E9071B">
        <w:rPr>
          <w:color w:val="000000"/>
        </w:rPr>
        <w:fldChar w:fldCharType="end"/>
      </w:r>
      <w:r w:rsidR="00F974E3">
        <w:rPr>
          <w:color w:val="000000"/>
        </w:rPr>
        <w:t>,</w:t>
      </w:r>
      <w:r>
        <w:rPr>
          <w:color w:val="000000"/>
        </w:rPr>
        <w:t xml:space="preserve"> the adoption of </w:t>
      </w:r>
      <w:r w:rsidR="008A5F7E">
        <w:rPr>
          <w:color w:val="000000"/>
        </w:rPr>
        <w:t>PV</w:t>
      </w:r>
      <w:r>
        <w:rPr>
          <w:color w:val="000000"/>
        </w:rPr>
        <w:t xml:space="preserve"> has increased. Global electricity capacity for photovoltaic (PV) solar generators now exceeds 1 TW</w:t>
      </w:r>
      <w:r w:rsidR="00E9071B">
        <w:rPr>
          <w:color w:val="000000"/>
        </w:rPr>
        <w:t xml:space="preserve"> </w:t>
      </w:r>
      <w:r w:rsidR="00E9071B">
        <w:rPr>
          <w:color w:val="000000"/>
        </w:rPr>
        <w:fldChar w:fldCharType="begin"/>
      </w:r>
      <w:r w:rsidR="00E9071B">
        <w:rPr>
          <w:color w:val="000000"/>
        </w:rPr>
        <w:instrText xml:space="preserve"> ADDIN EN.CITE &lt;EndNote&gt;&lt;Cite&gt;&lt;Author&gt;Haegel&lt;/Author&gt;&lt;Year&gt;2022&lt;/Year&gt;&lt;RecNum&gt;39&lt;/RecNum&gt;&lt;DisplayText&gt;[13]&lt;/DisplayText&gt;&lt;record&gt;&lt;rec-number&gt;39&lt;/rec-number&gt;&lt;foreign-keys&gt;&lt;key app="EN" db-id="0t5529r5t9fw5eeevs6pvsf7zetpxrvxx2we" timestamp="1685000526"&gt;39&lt;/key&gt;&lt;/foreign-keys&gt;&lt;ref-type name="Journal Article"&gt;17&lt;/ref-type&gt;&lt;contributors&gt;&lt;authors&gt;&lt;author&gt;Haegel, Nancy M&lt;/author&gt;&lt;author&gt;Kurtz, Sarah R&lt;/author&gt;&lt;/authors&gt;&lt;/contributors&gt;&lt;titles&gt;&lt;title&gt;Global Progress Toward Renewable Electricity: Tracking the Role of Solar (Version 2)&lt;/title&gt;&lt;secondary-title&gt;IEEE Journal of Photovoltaics&lt;/secondary-title&gt;&lt;/titles&gt;&lt;periodical&gt;&lt;full-title&gt;IEEE Journal of Photovoltaics&lt;/full-title&gt;&lt;/periodical&gt;&lt;pages&gt;1265-1272&lt;/pages&gt;&lt;volume&gt;12&lt;/volume&gt;&lt;number&gt;6&lt;/number&gt;&lt;dates&gt;&lt;year&gt;2022&lt;/year&gt;&lt;/dates&gt;&lt;isbn&gt;2156-3381&lt;/isbn&gt;&lt;urls&gt;&lt;/urls&gt;&lt;/record&gt;&lt;/Cite&gt;&lt;/EndNote&gt;</w:instrText>
      </w:r>
      <w:r w:rsidR="00E9071B">
        <w:rPr>
          <w:color w:val="000000"/>
        </w:rPr>
        <w:fldChar w:fldCharType="separate"/>
      </w:r>
      <w:r w:rsidR="00E9071B">
        <w:rPr>
          <w:noProof/>
          <w:color w:val="000000"/>
        </w:rPr>
        <w:t>[13]</w:t>
      </w:r>
      <w:r w:rsidR="00E9071B">
        <w:rPr>
          <w:color w:val="000000"/>
        </w:rPr>
        <w:fldChar w:fldCharType="end"/>
      </w:r>
      <w:r>
        <w:rPr>
          <w:color w:val="000000"/>
        </w:rPr>
        <w:t xml:space="preserve">. Breyer et al. </w:t>
      </w:r>
      <w:r>
        <w:rPr>
          <w:color w:val="000000"/>
        </w:rPr>
        <w:fldChar w:fldCharType="begin"/>
      </w:r>
      <w:r w:rsidR="00E9071B">
        <w:rPr>
          <w:color w:val="000000"/>
        </w:rPr>
        <w:instrText xml:space="preserve"> ADDIN EN.CITE &lt;EndNote&gt;&lt;Cite&gt;&lt;Author&gt;Breyer&lt;/Author&gt;&lt;Year&gt;2017&lt;/Year&gt;&lt;RecNum&gt;33&lt;/RecNum&gt;&lt;DisplayText&gt;[14]&lt;/DisplayText&gt;&lt;record&gt;&lt;rec-number&gt;33&lt;/rec-number&gt;&lt;foreign-keys&gt;&lt;key app="EN" db-id="0t5529r5t9fw5eeevs6pvsf7zetpxrvxx2we" timestamp="1684312265"&gt;33&lt;/key&gt;&lt;/foreign-keys&gt;&lt;ref-type name="Journal Article"&gt;17&lt;/ref-type&gt;&lt;contributors&gt;&lt;authors&gt;&lt;author&gt;Breyer, Christian&lt;/author&gt;&lt;author&gt;Bogdanov, Dmitrii&lt;/author&gt;&lt;author&gt;Gulagi, Ashish&lt;/author&gt;&lt;author&gt;Aghahosseini, Arman&lt;/author&gt;&lt;author&gt;Barbosa, Larissa SNS&lt;/author&gt;&lt;author&gt;Koskinen, Otto&lt;/author&gt;&lt;author&gt;Barasa, Maulidi&lt;/author&gt;&lt;author&gt;Caldera, Upeksha&lt;/author&gt;&lt;author&gt;Afanasyeva, Svetlana&lt;/author&gt;&lt;author&gt;Child, Michael&lt;/author&gt;&lt;/authors&gt;&lt;/contributors&gt;&lt;titles&gt;&lt;title&gt;On the role of solar photovoltaics in global energy transition scenarios&lt;/title&gt;&lt;secondary-title&gt;Progress in Photovoltaics: Research and Applications&lt;/secondary-title&gt;&lt;/titles&gt;&lt;periodical&gt;&lt;full-title&gt;Progress in Photovoltaics: Research and Applications&lt;/full-title&gt;&lt;/periodical&gt;&lt;pages&gt;727-745&lt;/pages&gt;&lt;volume&gt;25&lt;/volume&gt;&lt;number&gt;8&lt;/number&gt;&lt;dates&gt;&lt;year&gt;2017&lt;/year&gt;&lt;/dates&gt;&lt;isbn&gt;1062-7995&lt;/isbn&gt;&lt;urls&gt;&lt;/urls&gt;&lt;/record&gt;&lt;/Cite&gt;&lt;/EndNote&gt;</w:instrText>
      </w:r>
      <w:r>
        <w:rPr>
          <w:color w:val="000000"/>
        </w:rPr>
        <w:fldChar w:fldCharType="separate"/>
      </w:r>
      <w:r w:rsidR="00E9071B">
        <w:rPr>
          <w:noProof/>
          <w:color w:val="000000"/>
        </w:rPr>
        <w:t>[14]</w:t>
      </w:r>
      <w:r>
        <w:rPr>
          <w:color w:val="000000"/>
        </w:rPr>
        <w:fldChar w:fldCharType="end"/>
      </w:r>
      <w:r>
        <w:rPr>
          <w:color w:val="000000"/>
        </w:rPr>
        <w:t xml:space="preserve"> investigated the role of </w:t>
      </w:r>
      <w:r w:rsidR="008A5F7E">
        <w:rPr>
          <w:color w:val="000000"/>
        </w:rPr>
        <w:t>solar PV</w:t>
      </w:r>
      <w:r>
        <w:rPr>
          <w:color w:val="000000"/>
        </w:rPr>
        <w:t xml:space="preserve"> by reviewing global energy transition scenarios for 2030, 2050, and 2100 in several sub-regions around the globe. Their results highlighted solar PV as the largest energy resource in both mid-term and long-term future energy systems</w:t>
      </w:r>
      <w:r w:rsidR="0068338D">
        <w:rPr>
          <w:color w:val="000000"/>
        </w:rPr>
        <w:t xml:space="preserve"> in almost every country in the world. They calculated that wind</w:t>
      </w:r>
      <w:r w:rsidR="00C720B4">
        <w:rPr>
          <w:color w:val="000000"/>
        </w:rPr>
        <w:t xml:space="preserve"> and solar</w:t>
      </w:r>
      <w:r w:rsidR="0068338D">
        <w:rPr>
          <w:color w:val="000000"/>
        </w:rPr>
        <w:t xml:space="preserve"> would </w:t>
      </w:r>
      <w:r w:rsidR="00C720B4">
        <w:rPr>
          <w:color w:val="000000"/>
        </w:rPr>
        <w:t xml:space="preserve">each </w:t>
      </w:r>
      <w:r w:rsidR="0068338D">
        <w:rPr>
          <w:color w:val="000000"/>
        </w:rPr>
        <w:t xml:space="preserve">provide </w:t>
      </w:r>
      <w:r w:rsidR="00C720B4">
        <w:rPr>
          <w:color w:val="000000"/>
        </w:rPr>
        <w:t xml:space="preserve">&gt;40% of </w:t>
      </w:r>
      <w:r w:rsidR="0068338D">
        <w:rPr>
          <w:color w:val="000000"/>
        </w:rPr>
        <w:t xml:space="preserve">electricity </w:t>
      </w:r>
      <w:r w:rsidR="00F76677">
        <w:rPr>
          <w:color w:val="000000"/>
        </w:rPr>
        <w:t>worldwide</w:t>
      </w:r>
      <w:r>
        <w:rPr>
          <w:color w:val="000000"/>
        </w:rPr>
        <w:t>.</w:t>
      </w:r>
    </w:p>
    <w:p w14:paraId="01332B08" w14:textId="705256E5" w:rsidR="00532AFC" w:rsidRDefault="00104698" w:rsidP="00F76677">
      <w:pPr>
        <w:pStyle w:val="BodyText"/>
        <w:rPr>
          <w:rFonts w:eastAsia="MS Mincho"/>
          <w:color w:val="000000"/>
        </w:rPr>
      </w:pPr>
      <w:r>
        <w:rPr>
          <w:color w:val="000000"/>
        </w:rPr>
        <w:t xml:space="preserve">We already </w:t>
      </w:r>
      <w:r w:rsidR="00903B88">
        <w:rPr>
          <w:color w:val="000000"/>
        </w:rPr>
        <w:t>observe</w:t>
      </w:r>
      <w:r>
        <w:rPr>
          <w:color w:val="000000"/>
        </w:rPr>
        <w:t xml:space="preserve"> the adoption of </w:t>
      </w:r>
      <w:r w:rsidR="008A5F7E">
        <w:rPr>
          <w:color w:val="000000"/>
        </w:rPr>
        <w:t>PV</w:t>
      </w:r>
      <w:r>
        <w:rPr>
          <w:color w:val="000000"/>
        </w:rPr>
        <w:t xml:space="preserve">. </w:t>
      </w:r>
      <w:r w:rsidR="00F76677">
        <w:rPr>
          <w:color w:val="000000"/>
        </w:rPr>
        <w:t>As the cost of solar electricity has become competitive</w:t>
      </w:r>
      <w:r>
        <w:rPr>
          <w:color w:val="000000"/>
        </w:rPr>
        <w:t>,</w:t>
      </w:r>
      <w:r w:rsidR="00F76677">
        <w:rPr>
          <w:color w:val="000000"/>
        </w:rPr>
        <w:t xml:space="preserve"> utilities </w:t>
      </w:r>
      <w:r>
        <w:rPr>
          <w:color w:val="000000"/>
        </w:rPr>
        <w:t>like the</w:t>
      </w:r>
      <w:r w:rsidRPr="00F76677">
        <w:rPr>
          <w:rFonts w:eastAsia="MS Mincho"/>
          <w:color w:val="000000"/>
        </w:rPr>
        <w:t xml:space="preserve"> </w:t>
      </w:r>
      <w:r>
        <w:rPr>
          <w:rFonts w:eastAsia="MS Mincho"/>
          <w:color w:val="000000"/>
        </w:rPr>
        <w:t xml:space="preserve">Public Service Company of Colorado, </w:t>
      </w:r>
      <w:proofErr w:type="spellStart"/>
      <w:r>
        <w:rPr>
          <w:rFonts w:eastAsia="MS Mincho"/>
          <w:color w:val="000000"/>
        </w:rPr>
        <w:t>PSCo</w:t>
      </w:r>
      <w:proofErr w:type="spellEnd"/>
      <w:r>
        <w:rPr>
          <w:rFonts w:eastAsia="MS Mincho"/>
          <w:color w:val="000000"/>
        </w:rPr>
        <w:t>,</w:t>
      </w:r>
      <w:r>
        <w:rPr>
          <w:color w:val="000000"/>
        </w:rPr>
        <w:t xml:space="preserve"> </w:t>
      </w:r>
      <w:r w:rsidR="00F76677">
        <w:rPr>
          <w:color w:val="000000"/>
        </w:rPr>
        <w:t xml:space="preserve">are aggressively adopting </w:t>
      </w:r>
      <w:r w:rsidR="008A5F7E">
        <w:rPr>
          <w:color w:val="000000"/>
        </w:rPr>
        <w:t>PV</w:t>
      </w:r>
      <w:r w:rsidR="00F76677">
        <w:rPr>
          <w:color w:val="000000"/>
        </w:rPr>
        <w:t xml:space="preserve">. </w:t>
      </w:r>
      <w:proofErr w:type="spellStart"/>
      <w:r w:rsidR="00F76677">
        <w:rPr>
          <w:rFonts w:eastAsia="MS Mincho"/>
          <w:color w:val="000000"/>
        </w:rPr>
        <w:t>PSCo</w:t>
      </w:r>
      <w:proofErr w:type="spellEnd"/>
      <w:r w:rsidR="009B30BF">
        <w:rPr>
          <w:rFonts w:eastAsia="MS Mincho"/>
          <w:color w:val="000000"/>
        </w:rPr>
        <w:t xml:space="preserve"> runs its own balancing area</w:t>
      </w:r>
      <w:r w:rsidR="009B30BF" w:rsidRPr="0070447B">
        <w:rPr>
          <w:rFonts w:eastAsia="MS Mincho"/>
          <w:color w:val="000000"/>
        </w:rPr>
        <w:t xml:space="preserve"> with its reported generation corresponding to about 8</w:t>
      </w:r>
      <w:r w:rsidR="00591767" w:rsidRPr="0070447B">
        <w:rPr>
          <w:rFonts w:eastAsia="MS Mincho"/>
          <w:color w:val="000000"/>
        </w:rPr>
        <w:t>1</w:t>
      </w:r>
      <w:r w:rsidR="009B30BF" w:rsidRPr="0070447B">
        <w:rPr>
          <w:rFonts w:eastAsia="MS Mincho"/>
          <w:color w:val="000000"/>
        </w:rPr>
        <w:t xml:space="preserve">% of the balancing area total.  This allows for public Energy Information Administration data to be used to fill gaps in the utility data released to the public.  </w:t>
      </w:r>
      <w:proofErr w:type="spellStart"/>
      <w:r w:rsidR="009B30BF" w:rsidRPr="0070447B">
        <w:rPr>
          <w:rFonts w:eastAsia="MS Mincho"/>
          <w:color w:val="000000"/>
        </w:rPr>
        <w:t>PSCo</w:t>
      </w:r>
      <w:proofErr w:type="spellEnd"/>
      <w:r w:rsidR="009B30BF" w:rsidRPr="0070447B">
        <w:rPr>
          <w:rFonts w:eastAsia="MS Mincho"/>
          <w:color w:val="000000"/>
        </w:rPr>
        <w:t xml:space="preserve"> is rapidly replacing coal-fired generation with wind and PV with a mandate to reduce CO</w:t>
      </w:r>
      <w:r w:rsidR="009B30BF" w:rsidRPr="0070447B">
        <w:rPr>
          <w:rFonts w:eastAsia="MS Mincho"/>
          <w:color w:val="000000"/>
          <w:vertAlign w:val="subscript"/>
        </w:rPr>
        <w:t>2</w:t>
      </w:r>
      <w:r w:rsidR="009B30BF" w:rsidRPr="0070447B">
        <w:rPr>
          <w:rFonts w:eastAsia="MS Mincho"/>
          <w:color w:val="000000"/>
        </w:rPr>
        <w:t xml:space="preserve"> generation by 80% relative to a 2004 baseline. From 2004, the primary renewable resource installed was wind, reaching 25% wind by 2019.  </w:t>
      </w:r>
      <w:r w:rsidR="00F76677">
        <w:rPr>
          <w:rFonts w:eastAsia="MS Mincho"/>
          <w:color w:val="000000"/>
        </w:rPr>
        <w:t xml:space="preserve">As </w:t>
      </w:r>
      <w:r w:rsidR="005718F6">
        <w:rPr>
          <w:rFonts w:eastAsia="MS Mincho"/>
          <w:color w:val="000000"/>
        </w:rPr>
        <w:t xml:space="preserve">the new </w:t>
      </w:r>
      <w:r w:rsidR="00F76677">
        <w:rPr>
          <w:rFonts w:eastAsia="MS Mincho"/>
          <w:color w:val="000000"/>
        </w:rPr>
        <w:t>plans are implemented by the end of 2023 (delayed only slightly because of supply issues)</w:t>
      </w:r>
      <w:r w:rsidR="009B30BF" w:rsidRPr="0070447B">
        <w:rPr>
          <w:rFonts w:eastAsia="MS Mincho"/>
          <w:color w:val="000000"/>
        </w:rPr>
        <w:t xml:space="preserve">, PV will become very significant, increasing from about 5% to 15% of total generation (Fig. 1). </w:t>
      </w:r>
    </w:p>
    <w:p w14:paraId="744AD03B" w14:textId="68ED63CE" w:rsidR="00DE65F5" w:rsidRPr="00DB37CF" w:rsidRDefault="00DE65F5" w:rsidP="00BC298F">
      <w:pPr>
        <w:pStyle w:val="BodyText"/>
      </w:pPr>
      <w:r>
        <w:rPr>
          <w:rFonts w:eastAsia="MS Mincho"/>
        </w:rPr>
        <w:t xml:space="preserve">The key result in Figure 1 is the rapid increase in PV by 2023.  Figure 1 </w:t>
      </w:r>
      <w:r w:rsidR="00DB5B50">
        <w:rPr>
          <w:rFonts w:eastAsia="MS Mincho"/>
        </w:rPr>
        <w:t xml:space="preserve">compares </w:t>
      </w:r>
      <w:r>
        <w:rPr>
          <w:rFonts w:eastAsia="MS Mincho"/>
        </w:rPr>
        <w:t xml:space="preserve">EIA data </w:t>
      </w:r>
      <w:r>
        <w:rPr>
          <w:rFonts w:eastAsia="MS Mincho"/>
        </w:rPr>
        <w:fldChar w:fldCharType="begin"/>
      </w:r>
      <w:r w:rsidR="00BC298F">
        <w:rPr>
          <w:rFonts w:eastAsia="MS Mincho"/>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Pr>
          <w:rFonts w:eastAsia="MS Mincho"/>
        </w:rPr>
        <w:fldChar w:fldCharType="separate"/>
      </w:r>
      <w:r w:rsidR="00E9071B">
        <w:rPr>
          <w:rFonts w:eastAsia="MS Mincho"/>
          <w:noProof/>
        </w:rPr>
        <w:t>[15]</w:t>
      </w:r>
      <w:r>
        <w:rPr>
          <w:rFonts w:eastAsia="MS Mincho"/>
        </w:rPr>
        <w:fldChar w:fldCharType="end"/>
      </w:r>
      <w:r>
        <w:rPr>
          <w:rFonts w:eastAsia="MS Mincho"/>
        </w:rPr>
        <w:t xml:space="preserve"> for the entire state of Colorado for the fraction of electricity supplied by PV, from 2015-2021, with data specific to </w:t>
      </w:r>
      <w:proofErr w:type="spellStart"/>
      <w:r>
        <w:rPr>
          <w:rFonts w:eastAsia="MS Mincho"/>
        </w:rPr>
        <w:t>PSCo</w:t>
      </w:r>
      <w:proofErr w:type="spellEnd"/>
      <w:r>
        <w:rPr>
          <w:rFonts w:eastAsia="MS Mincho"/>
        </w:rPr>
        <w:t xml:space="preserve"> territory from 2019-2030 </w:t>
      </w:r>
      <w:r>
        <w:rPr>
          <w:rFonts w:eastAsia="MS Mincho"/>
        </w:rPr>
        <w:fldChar w:fldCharType="begin"/>
      </w:r>
      <w:r w:rsidR="00E9071B">
        <w:rPr>
          <w:rFonts w:eastAsia="MS Mincho"/>
        </w:rPr>
        <w:instrText xml:space="preserve"> ADDIN EN.CITE &lt;EndNote&gt;&lt;Cite&gt;&lt;Year&gt;March 2021&lt;/Year&gt;&lt;RecNum&gt;14&lt;/RecNum&gt;&lt;DisplayText&gt;[16]&lt;/DisplayText&gt;&lt;record&gt;&lt;rec-number&gt;14&lt;/rec-number&gt;&lt;foreign-keys&gt;&lt;key app="EN" db-id="0t5529r5t9fw5eeevs6pvsf7zetpxrvxx2we" timestamp="1682959322"&gt;14&lt;/key&gt;&lt;/foreign-keys&gt;&lt;ref-type name="Unpublished Work"&gt;34&lt;/ref-type&gt;&lt;contributors&gt;&lt;/contributors&gt;&lt;titles&gt;&lt;title&gt;Direct testimony of Alice K. Jackson, Proceeding number 21A-0141E of the Colorado Public Utilities Commission, Plan overview and appendix 2. (Unpublished)&lt;/title&gt;&lt;/titles&gt;&lt;pages&gt;47-48 and 296&lt;/pages&gt;&lt;dates&gt;&lt;year&gt;March 2021&lt;/year&gt;&lt;/dates&gt;&lt;urls&gt;&lt;/urls&gt;&lt;/record&gt;&lt;/Cite&gt;&lt;/EndNote&gt;</w:instrText>
      </w:r>
      <w:r>
        <w:rPr>
          <w:rFonts w:eastAsia="MS Mincho"/>
        </w:rPr>
        <w:fldChar w:fldCharType="separate"/>
      </w:r>
      <w:r w:rsidR="00E9071B">
        <w:rPr>
          <w:rFonts w:eastAsia="MS Mincho"/>
          <w:noProof/>
        </w:rPr>
        <w:t>[16]</w:t>
      </w:r>
      <w:r>
        <w:rPr>
          <w:rFonts w:eastAsia="MS Mincho"/>
        </w:rPr>
        <w:fldChar w:fldCharType="end"/>
      </w:r>
      <w:r>
        <w:rPr>
          <w:rFonts w:eastAsia="MS Mincho"/>
        </w:rPr>
        <w:t xml:space="preserve">.  By plotting the percentage of total electricity that is PV, the </w:t>
      </w:r>
      <w:proofErr w:type="spellStart"/>
      <w:r>
        <w:rPr>
          <w:rFonts w:eastAsia="MS Mincho"/>
        </w:rPr>
        <w:t>PSCo</w:t>
      </w:r>
      <w:proofErr w:type="spellEnd"/>
      <w:r>
        <w:rPr>
          <w:rFonts w:eastAsia="MS Mincho"/>
        </w:rPr>
        <w:t xml:space="preserve"> data </w:t>
      </w:r>
      <w:r w:rsidR="00F83D1D">
        <w:rPr>
          <w:rFonts w:eastAsia="MS Mincho"/>
        </w:rPr>
        <w:t xml:space="preserve">are </w:t>
      </w:r>
      <w:proofErr w:type="gramStart"/>
      <w:r>
        <w:rPr>
          <w:rFonts w:eastAsia="MS Mincho"/>
        </w:rPr>
        <w:t>similar to</w:t>
      </w:r>
      <w:proofErr w:type="gramEnd"/>
      <w:r>
        <w:rPr>
          <w:rFonts w:eastAsia="MS Mincho"/>
        </w:rPr>
        <w:t xml:space="preserve"> the entire state in the overlapping years, indicating that the PV fraction in </w:t>
      </w:r>
      <w:proofErr w:type="spellStart"/>
      <w:r>
        <w:rPr>
          <w:rFonts w:eastAsia="MS Mincho"/>
        </w:rPr>
        <w:t>PSCo</w:t>
      </w:r>
      <w:proofErr w:type="spellEnd"/>
      <w:r>
        <w:rPr>
          <w:rFonts w:eastAsia="MS Mincho"/>
        </w:rPr>
        <w:t xml:space="preserve"> territory is similar to the rest of Colorado in those years.  The squares are data from a 2021 resource planning docket at the PUC.   The </w:t>
      </w:r>
      <w:r w:rsidR="00187737">
        <w:rPr>
          <w:rFonts w:eastAsia="MS Mincho"/>
        </w:rPr>
        <w:t>data</w:t>
      </w:r>
      <w:r>
        <w:rPr>
          <w:rFonts w:eastAsia="MS Mincho"/>
        </w:rPr>
        <w:t xml:space="preserve"> are interpolated between 2023 and 2030 based on listed renewable resource additions for years in which no specific percentage of renewables was reported in the regulatory proceeding.  Intuitively, it is interesting to realize that 15% of annual electricity arriving primarily in eight of 24 hours per day means that for noon the electricity can be close to 50% </w:t>
      </w:r>
      <w:r w:rsidR="00F83D1D">
        <w:rPr>
          <w:rFonts w:eastAsia="MS Mincho"/>
        </w:rPr>
        <w:t>from</w:t>
      </w:r>
      <w:r>
        <w:rPr>
          <w:rFonts w:eastAsia="MS Mincho"/>
        </w:rPr>
        <w:t xml:space="preserve"> PV</w:t>
      </w:r>
      <w:r w:rsidRPr="00164224">
        <w:rPr>
          <w:rFonts w:eastAsia="MS Mincho"/>
        </w:rPr>
        <w:t>.</w:t>
      </w:r>
      <w:r w:rsidRPr="00F165B8">
        <w:t xml:space="preserve"> </w:t>
      </w:r>
    </w:p>
    <w:p w14:paraId="230695B8" w14:textId="77777777" w:rsidR="006B0B5F" w:rsidRDefault="006B0B5F" w:rsidP="00956408">
      <w:pPr>
        <w:pStyle w:val="BodyText"/>
        <w:rPr>
          <w:rFonts w:eastAsia="MS Mincho"/>
          <w:color w:val="000000"/>
        </w:rPr>
      </w:pPr>
    </w:p>
    <w:p w14:paraId="4EAA7615" w14:textId="0E6BDFAE" w:rsidR="007D7AF1" w:rsidRPr="006B0B5F" w:rsidRDefault="00D61218" w:rsidP="00016DA3">
      <w:pPr>
        <w:pStyle w:val="BodyText"/>
        <w:jc w:val="center"/>
        <w:rPr>
          <w:rFonts w:eastAsia="MS Mincho"/>
          <w:color w:val="000000"/>
        </w:rPr>
      </w:pPr>
      <w:r>
        <w:rPr>
          <w:rFonts w:eastAsia="MS Mincho"/>
          <w:noProof/>
          <w:color w:val="000000"/>
        </w:rPr>
        <w:lastRenderedPageBreak/>
        <w:drawing>
          <wp:inline distT="0" distB="0" distL="0" distR="0" wp14:anchorId="51276B2F" wp14:editId="09F1703F">
            <wp:extent cx="2990850" cy="267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0850" cy="2679700"/>
                    </a:xfrm>
                    <a:prstGeom prst="rect">
                      <a:avLst/>
                    </a:prstGeom>
                    <a:noFill/>
                    <a:ln>
                      <a:noFill/>
                    </a:ln>
                  </pic:spPr>
                </pic:pic>
              </a:graphicData>
            </a:graphic>
          </wp:inline>
        </w:drawing>
      </w:r>
    </w:p>
    <w:p w14:paraId="7C80D87B" w14:textId="597D88FC" w:rsidR="00956408" w:rsidRPr="003B6E4D" w:rsidRDefault="001475C0" w:rsidP="00A90E5B">
      <w:pPr>
        <w:pStyle w:val="Subtitle"/>
        <w:rPr>
          <w:rFonts w:eastAsia="MS Mincho"/>
        </w:rPr>
      </w:pPr>
      <w:r w:rsidRPr="000354BB">
        <w:t>Percentage of power from PV vs. Year</w:t>
      </w:r>
      <w:r w:rsidR="00D413D3">
        <w:t xml:space="preserve">, past </w:t>
      </w:r>
      <w:r w:rsidR="00D1485A">
        <w:rPr>
          <w:rFonts w:eastAsia="MS Mincho"/>
        </w:rPr>
        <w:fldChar w:fldCharType="begin"/>
      </w:r>
      <w:r w:rsidR="00BC298F">
        <w:rPr>
          <w:rFonts w:eastAsia="MS Mincho"/>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sidR="00D1485A">
        <w:rPr>
          <w:rFonts w:eastAsia="MS Mincho"/>
        </w:rPr>
        <w:fldChar w:fldCharType="separate"/>
      </w:r>
      <w:r w:rsidR="00E9071B">
        <w:rPr>
          <w:rFonts w:eastAsia="MS Mincho"/>
          <w:noProof/>
        </w:rPr>
        <w:t>[15]</w:t>
      </w:r>
      <w:r w:rsidR="00D1485A">
        <w:rPr>
          <w:rFonts w:eastAsia="MS Mincho"/>
        </w:rPr>
        <w:fldChar w:fldCharType="end"/>
      </w:r>
      <w:r w:rsidR="00D1485A">
        <w:rPr>
          <w:rFonts w:eastAsia="MS Mincho"/>
        </w:rPr>
        <w:t xml:space="preserve"> </w:t>
      </w:r>
      <w:r w:rsidR="00D413D3">
        <w:t>and projected</w:t>
      </w:r>
      <w:r w:rsidR="00D1485A">
        <w:t xml:space="preserve"> </w:t>
      </w:r>
      <w:r w:rsidR="00D1485A">
        <w:rPr>
          <w:rFonts w:eastAsia="MS Mincho"/>
        </w:rPr>
        <w:fldChar w:fldCharType="begin"/>
      </w:r>
      <w:r w:rsidR="00E9071B">
        <w:rPr>
          <w:rFonts w:eastAsia="MS Mincho"/>
        </w:rPr>
        <w:instrText xml:space="preserve"> ADDIN EN.CITE &lt;EndNote&gt;&lt;Cite&gt;&lt;Year&gt;March 2021&lt;/Year&gt;&lt;RecNum&gt;14&lt;/RecNum&gt;&lt;DisplayText&gt;[16]&lt;/DisplayText&gt;&lt;record&gt;&lt;rec-number&gt;14&lt;/rec-number&gt;&lt;foreign-keys&gt;&lt;key app="EN" db-id="0t5529r5t9fw5eeevs6pvsf7zetpxrvxx2we" timestamp="1682959322"&gt;14&lt;/key&gt;&lt;/foreign-keys&gt;&lt;ref-type name="Unpublished Work"&gt;34&lt;/ref-type&gt;&lt;contributors&gt;&lt;/contributors&gt;&lt;titles&gt;&lt;title&gt;Direct testimony of Alice K. Jackson, Proceeding number 21A-0141E of the Colorado Public Utilities Commission, Plan overview and appendix 2. (Unpublished)&lt;/title&gt;&lt;/titles&gt;&lt;pages&gt;47-48 and 296&lt;/pages&gt;&lt;dates&gt;&lt;year&gt;March 2021&lt;/year&gt;&lt;/dates&gt;&lt;urls&gt;&lt;/urls&gt;&lt;/record&gt;&lt;/Cite&gt;&lt;/EndNote&gt;</w:instrText>
      </w:r>
      <w:r w:rsidR="00D1485A">
        <w:rPr>
          <w:rFonts w:eastAsia="MS Mincho"/>
        </w:rPr>
        <w:fldChar w:fldCharType="separate"/>
      </w:r>
      <w:r w:rsidR="00E9071B">
        <w:rPr>
          <w:rFonts w:eastAsia="MS Mincho"/>
          <w:noProof/>
        </w:rPr>
        <w:t>[16]</w:t>
      </w:r>
      <w:r w:rsidR="00D1485A">
        <w:rPr>
          <w:rFonts w:eastAsia="MS Mincho"/>
        </w:rPr>
        <w:fldChar w:fldCharType="end"/>
      </w:r>
      <w:r w:rsidR="00D413D3">
        <w:t xml:space="preserve">, for Colorado </w:t>
      </w:r>
    </w:p>
    <w:p w14:paraId="75FDEEE6" w14:textId="77777777" w:rsidR="00B070A3" w:rsidRDefault="00B070A3" w:rsidP="00F31B91">
      <w:pPr>
        <w:pStyle w:val="Heading1"/>
        <w:rPr>
          <w:color w:val="000000"/>
        </w:rPr>
      </w:pPr>
      <w:r>
        <w:rPr>
          <w:color w:val="000000"/>
        </w:rPr>
        <w:t>Methods</w:t>
      </w:r>
      <w:r w:rsidR="00C32418">
        <w:rPr>
          <w:color w:val="000000"/>
        </w:rPr>
        <w:t xml:space="preserve"> </w:t>
      </w:r>
      <w:r w:rsidR="00F31B91">
        <w:rPr>
          <w:color w:val="000000"/>
        </w:rPr>
        <w:t>For</w:t>
      </w:r>
      <w:r w:rsidR="00C32418">
        <w:rPr>
          <w:color w:val="000000"/>
        </w:rPr>
        <w:t xml:space="preserve"> Data analysis</w:t>
      </w:r>
    </w:p>
    <w:p w14:paraId="2D9BB3C0" w14:textId="3F94C442" w:rsidR="005E1EB3" w:rsidRDefault="00327756" w:rsidP="008108E1">
      <w:pPr>
        <w:pStyle w:val="BodyText"/>
        <w:ind w:firstLine="0"/>
        <w:rPr>
          <w:color w:val="000000"/>
        </w:rPr>
      </w:pPr>
      <w:r>
        <w:rPr>
          <w:color w:val="000000"/>
        </w:rPr>
        <w:t>This study analyze</w:t>
      </w:r>
      <w:r w:rsidR="005E1EB3">
        <w:rPr>
          <w:color w:val="000000"/>
        </w:rPr>
        <w:t>d</w:t>
      </w:r>
      <w:r>
        <w:rPr>
          <w:color w:val="000000"/>
        </w:rPr>
        <w:t xml:space="preserve"> the composition of </w:t>
      </w:r>
      <w:r w:rsidR="005E1EB3">
        <w:rPr>
          <w:color w:val="000000"/>
        </w:rPr>
        <w:t>past and</w:t>
      </w:r>
      <w:r>
        <w:rPr>
          <w:color w:val="000000"/>
        </w:rPr>
        <w:t xml:space="preserve"> future electricity </w:t>
      </w:r>
      <w:r w:rsidR="005E1EB3">
        <w:rPr>
          <w:color w:val="000000"/>
        </w:rPr>
        <w:t>generation</w:t>
      </w:r>
      <w:r w:rsidR="004916F8">
        <w:rPr>
          <w:color w:val="000000"/>
        </w:rPr>
        <w:t xml:space="preserve"> </w:t>
      </w:r>
      <w:r w:rsidR="005E1EB3">
        <w:rPr>
          <w:color w:val="000000"/>
        </w:rPr>
        <w:t>using</w:t>
      </w:r>
      <w:r>
        <w:rPr>
          <w:color w:val="000000"/>
        </w:rPr>
        <w:t xml:space="preserve"> EIA electricity generation for Colorado and California balancing areas. The percentages of fossil fuels </w:t>
      </w:r>
      <w:r w:rsidR="005E1EB3">
        <w:rPr>
          <w:color w:val="000000"/>
        </w:rPr>
        <w:t>were</w:t>
      </w:r>
      <w:r>
        <w:rPr>
          <w:color w:val="000000"/>
        </w:rPr>
        <w:t xml:space="preserve"> calculated for 8760 hours per year for both areas </w:t>
      </w:r>
      <w:r w:rsidR="005E1EB3">
        <w:rPr>
          <w:color w:val="000000"/>
        </w:rPr>
        <w:t xml:space="preserve">using </w:t>
      </w:r>
      <w:r w:rsidR="00D97F7D">
        <w:rPr>
          <w:color w:val="000000"/>
        </w:rPr>
        <w:t>Eq. 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gridCol w:w="743"/>
      </w:tblGrid>
      <w:tr w:rsidR="00675BC9" w14:paraId="7E9C9228" w14:textId="77777777" w:rsidTr="00786D1E">
        <w:trPr>
          <w:jc w:val="center"/>
        </w:trPr>
        <w:tc>
          <w:tcPr>
            <w:tcW w:w="9445" w:type="dxa"/>
          </w:tcPr>
          <w:p w14:paraId="7C0E63EA" w14:textId="5561A8E0" w:rsidR="00675BC9" w:rsidRPr="00675BC9" w:rsidRDefault="00675BC9" w:rsidP="00675BC9">
            <w:pPr>
              <w:pStyle w:val="BodyText"/>
              <w:ind w:firstLine="0"/>
              <w:rPr>
                <w:noProof/>
              </w:rPr>
            </w:pPr>
            <m:oMathPara>
              <m:oMathParaPr>
                <m:jc m:val="left"/>
              </m:oMathParaPr>
              <m:oMath>
                <m:r>
                  <w:rPr>
                    <w:rFonts w:ascii="Cambria Math" w:hAnsi="Cambria Math"/>
                    <w:noProof/>
                  </w:rPr>
                  <m:t>Fossil fuel generation(t)=</m:t>
                </m:r>
                <m:f>
                  <m:fPr>
                    <m:ctrlPr>
                      <w:rPr>
                        <w:rFonts w:ascii="Cambria Math" w:hAnsi="Cambria Math"/>
                        <w:i/>
                        <w:noProof/>
                      </w:rPr>
                    </m:ctrlPr>
                  </m:fPr>
                  <m:num>
                    <m:r>
                      <w:rPr>
                        <w:rFonts w:ascii="Cambria Math" w:hAnsi="Cambria Math"/>
                        <w:noProof/>
                      </w:rPr>
                      <m:t>Total generation</m:t>
                    </m:r>
                    <m:d>
                      <m:dPr>
                        <m:ctrlPr>
                          <w:rPr>
                            <w:rFonts w:ascii="Cambria Math" w:hAnsi="Cambria Math"/>
                            <w:i/>
                            <w:noProof/>
                          </w:rPr>
                        </m:ctrlPr>
                      </m:dPr>
                      <m:e>
                        <m:r>
                          <w:rPr>
                            <w:rFonts w:ascii="Cambria Math" w:hAnsi="Cambria Math"/>
                            <w:noProof/>
                          </w:rPr>
                          <m:t>t</m:t>
                        </m:r>
                      </m:e>
                    </m:d>
                    <m:r>
                      <w:rPr>
                        <w:rFonts w:ascii="Cambria Math" w:hAnsi="Cambria Math"/>
                        <w:noProof/>
                      </w:rPr>
                      <m:t>-Clean generation(t)</m:t>
                    </m:r>
                  </m:num>
                  <m:den>
                    <m:r>
                      <w:rPr>
                        <w:rFonts w:ascii="Cambria Math" w:hAnsi="Cambria Math"/>
                        <w:noProof/>
                      </w:rPr>
                      <m:t>Total generation(t)</m:t>
                    </m:r>
                  </m:den>
                </m:f>
              </m:oMath>
            </m:oMathPara>
          </w:p>
        </w:tc>
        <w:tc>
          <w:tcPr>
            <w:tcW w:w="743" w:type="dxa"/>
          </w:tcPr>
          <w:p w14:paraId="4F1BF541" w14:textId="120F00F9" w:rsidR="00675BC9" w:rsidRDefault="00675BC9" w:rsidP="00786D1E">
            <w:pPr>
              <w:pStyle w:val="BodyText"/>
              <w:ind w:firstLine="0"/>
              <w:rPr>
                <w:color w:val="000000"/>
              </w:rPr>
            </w:pPr>
            <w:r>
              <w:rPr>
                <w:color w:val="000000"/>
              </w:rPr>
              <w:t>(1)</w:t>
            </w:r>
          </w:p>
        </w:tc>
      </w:tr>
    </w:tbl>
    <w:p w14:paraId="4939F171" w14:textId="77777777" w:rsidR="00675BC9" w:rsidRDefault="00675BC9" w:rsidP="008108E1">
      <w:pPr>
        <w:pStyle w:val="BodyText"/>
        <w:ind w:firstLine="0"/>
        <w:rPr>
          <w:color w:val="000000"/>
        </w:rPr>
      </w:pPr>
    </w:p>
    <w:p w14:paraId="6570C4ED" w14:textId="00B4A367" w:rsidR="00FF3077" w:rsidRDefault="003E7FE3" w:rsidP="00550419">
      <w:pPr>
        <w:pStyle w:val="BodyText"/>
        <w:ind w:firstLine="0"/>
        <w:rPr>
          <w:color w:val="000000"/>
        </w:rPr>
      </w:pPr>
      <w:r>
        <w:rPr>
          <w:color w:val="000000"/>
        </w:rPr>
        <w:t xml:space="preserve">where </w:t>
      </w:r>
      <w:r w:rsidR="00D25894">
        <w:rPr>
          <w:i/>
          <w:iCs/>
          <w:color w:val="000000"/>
        </w:rPr>
        <w:t>T</w:t>
      </w:r>
      <w:r w:rsidR="00327756">
        <w:rPr>
          <w:i/>
          <w:iCs/>
          <w:color w:val="000000"/>
        </w:rPr>
        <w:t>otal generation</w:t>
      </w:r>
      <w:r>
        <w:rPr>
          <w:color w:val="000000"/>
        </w:rPr>
        <w:t>(t)</w:t>
      </w:r>
      <w:r w:rsidR="00327756">
        <w:rPr>
          <w:color w:val="000000"/>
        </w:rPr>
        <w:t xml:space="preserve"> </w:t>
      </w:r>
      <w:r>
        <w:rPr>
          <w:color w:val="000000"/>
        </w:rPr>
        <w:t xml:space="preserve">is the total </w:t>
      </w:r>
      <w:r w:rsidR="00D97F7D">
        <w:rPr>
          <w:color w:val="000000"/>
        </w:rPr>
        <w:t xml:space="preserve">electricity </w:t>
      </w:r>
      <w:r>
        <w:rPr>
          <w:color w:val="000000"/>
        </w:rPr>
        <w:t xml:space="preserve">generation in </w:t>
      </w:r>
      <w:r w:rsidR="00D25894">
        <w:rPr>
          <w:color w:val="000000"/>
        </w:rPr>
        <w:t xml:space="preserve">hour </w:t>
      </w:r>
      <w:r w:rsidR="00D25894">
        <w:rPr>
          <w:i/>
          <w:iCs/>
          <w:color w:val="000000"/>
        </w:rPr>
        <w:t>t</w:t>
      </w:r>
      <w:r>
        <w:rPr>
          <w:color w:val="000000"/>
        </w:rPr>
        <w:t xml:space="preserve"> and </w:t>
      </w:r>
      <w:proofErr w:type="gramStart"/>
      <w:r w:rsidR="00D25894">
        <w:rPr>
          <w:i/>
          <w:iCs/>
          <w:color w:val="000000"/>
        </w:rPr>
        <w:t>Clean</w:t>
      </w:r>
      <w:proofErr w:type="gramEnd"/>
      <w:r>
        <w:rPr>
          <w:i/>
          <w:iCs/>
          <w:color w:val="000000"/>
        </w:rPr>
        <w:t xml:space="preserve"> generation(t)</w:t>
      </w:r>
      <w:r>
        <w:rPr>
          <w:color w:val="000000"/>
        </w:rPr>
        <w:t xml:space="preserve"> is</w:t>
      </w:r>
      <w:r w:rsidR="00D25894">
        <w:rPr>
          <w:color w:val="000000"/>
        </w:rPr>
        <w:t xml:space="preserve"> the sum of the</w:t>
      </w:r>
      <w:r>
        <w:rPr>
          <w:color w:val="000000"/>
        </w:rPr>
        <w:t xml:space="preserve"> </w:t>
      </w:r>
      <w:r w:rsidR="00F842FE">
        <w:rPr>
          <w:color w:val="000000"/>
        </w:rPr>
        <w:t>renewables</w:t>
      </w:r>
      <w:r>
        <w:rPr>
          <w:color w:val="000000"/>
        </w:rPr>
        <w:t>, hydro</w:t>
      </w:r>
      <w:r w:rsidR="00D25894">
        <w:rPr>
          <w:color w:val="000000"/>
        </w:rPr>
        <w:t xml:space="preserve">power, </w:t>
      </w:r>
      <w:r w:rsidR="003F23CE">
        <w:rPr>
          <w:color w:val="000000"/>
        </w:rPr>
        <w:t>and nuclear</w:t>
      </w:r>
      <w:r w:rsidR="00D25894">
        <w:rPr>
          <w:color w:val="000000"/>
        </w:rPr>
        <w:t xml:space="preserve"> generation in hour</w:t>
      </w:r>
      <w:r w:rsidR="00D25894">
        <w:rPr>
          <w:i/>
          <w:iCs/>
          <w:color w:val="000000"/>
        </w:rPr>
        <w:t xml:space="preserve"> </w:t>
      </w:r>
      <w:r w:rsidR="00D25894" w:rsidRPr="00D25894">
        <w:rPr>
          <w:i/>
          <w:iCs/>
          <w:color w:val="000000"/>
        </w:rPr>
        <w:t>t</w:t>
      </w:r>
      <w:r w:rsidR="0058306A">
        <w:rPr>
          <w:color w:val="000000"/>
        </w:rPr>
        <w:t xml:space="preserve">. </w:t>
      </w:r>
      <w:r w:rsidR="0039049B">
        <w:rPr>
          <w:color w:val="000000"/>
        </w:rPr>
        <w:t xml:space="preserve">(Note that Colorado has no nuclear power plants and California generates </w:t>
      </w:r>
      <w:r w:rsidR="00192A2C">
        <w:rPr>
          <w:color w:val="000000"/>
        </w:rPr>
        <w:t>8</w:t>
      </w:r>
      <w:r w:rsidR="00AA0EED">
        <w:rPr>
          <w:color w:val="000000"/>
        </w:rPr>
        <w:t xml:space="preserve"> </w:t>
      </w:r>
      <w:r w:rsidR="0039049B">
        <w:rPr>
          <w:color w:val="000000"/>
        </w:rPr>
        <w:t>% from nuclear</w:t>
      </w:r>
      <w:r w:rsidR="00DF5551">
        <w:rPr>
          <w:color w:val="000000"/>
        </w:rPr>
        <w:t xml:space="preserve"> reported by EIA</w:t>
      </w:r>
      <w:r w:rsidR="0039049B">
        <w:rPr>
          <w:color w:val="000000"/>
        </w:rPr>
        <w:t xml:space="preserve">. </w:t>
      </w:r>
      <w:r w:rsidR="00325D4A">
        <w:rPr>
          <w:color w:val="000000"/>
        </w:rPr>
        <w:t>F</w:t>
      </w:r>
      <w:r w:rsidR="0039049B">
        <w:rPr>
          <w:color w:val="000000"/>
        </w:rPr>
        <w:t>or simplicity, we refer to the non-fossil fuel generation as “renewable.”</w:t>
      </w:r>
      <w:r w:rsidR="00325D4A">
        <w:rPr>
          <w:color w:val="000000"/>
        </w:rPr>
        <w:t>)</w:t>
      </w:r>
      <w:r w:rsidR="0039049B">
        <w:rPr>
          <w:color w:val="000000"/>
        </w:rPr>
        <w:t xml:space="preserve"> </w:t>
      </w:r>
      <w:r w:rsidR="00BC42FB">
        <w:rPr>
          <w:color w:val="000000"/>
        </w:rPr>
        <w:t>For Colorado the</w:t>
      </w:r>
      <w:r w:rsidR="00164FAF">
        <w:rPr>
          <w:color w:val="000000"/>
        </w:rPr>
        <w:t xml:space="preserve"> hourly</w:t>
      </w:r>
      <w:r w:rsidR="00BC42FB">
        <w:rPr>
          <w:color w:val="000000"/>
        </w:rPr>
        <w:t xml:space="preserve"> EIA data</w:t>
      </w:r>
      <w:r w:rsidR="00164FAF">
        <w:rPr>
          <w:color w:val="000000"/>
        </w:rPr>
        <w:t xml:space="preserve"> </w:t>
      </w:r>
      <w:r w:rsidR="00947AEB">
        <w:rPr>
          <w:color w:val="000000"/>
        </w:rPr>
        <w:fldChar w:fldCharType="begin"/>
      </w:r>
      <w:r w:rsidR="00947AEB">
        <w:rPr>
          <w:color w:val="000000"/>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sidR="00947AEB">
        <w:rPr>
          <w:color w:val="000000"/>
        </w:rPr>
        <w:fldChar w:fldCharType="separate"/>
      </w:r>
      <w:r w:rsidR="00947AEB">
        <w:rPr>
          <w:noProof/>
          <w:color w:val="000000"/>
        </w:rPr>
        <w:t>[15]</w:t>
      </w:r>
      <w:r w:rsidR="00947AEB">
        <w:rPr>
          <w:color w:val="000000"/>
        </w:rPr>
        <w:fldChar w:fldCharType="end"/>
      </w:r>
      <w:r w:rsidR="00BC42FB">
        <w:rPr>
          <w:color w:val="000000"/>
        </w:rPr>
        <w:t xml:space="preserve"> for 2019 were used, with </w:t>
      </w:r>
      <w:r w:rsidR="00327756">
        <w:rPr>
          <w:color w:val="000000"/>
        </w:rPr>
        <w:t xml:space="preserve">projections for </w:t>
      </w:r>
      <w:proofErr w:type="spellStart"/>
      <w:r w:rsidR="00192A2C">
        <w:rPr>
          <w:color w:val="000000"/>
        </w:rPr>
        <w:t>PSCo</w:t>
      </w:r>
      <w:proofErr w:type="spellEnd"/>
      <w:r w:rsidR="00327756">
        <w:rPr>
          <w:color w:val="000000"/>
        </w:rPr>
        <w:t xml:space="preserve"> calculated</w:t>
      </w:r>
      <w:r w:rsidR="003F23CE">
        <w:rPr>
          <w:color w:val="000000"/>
        </w:rPr>
        <w:t xml:space="preserve"> for </w:t>
      </w:r>
      <w:r w:rsidR="00327756">
        <w:rPr>
          <w:color w:val="000000"/>
        </w:rPr>
        <w:t xml:space="preserve">scaling the PV and wind resources </w:t>
      </w:r>
      <w:r w:rsidR="00BC42FB">
        <w:rPr>
          <w:color w:val="000000"/>
        </w:rPr>
        <w:t>using</w:t>
      </w:r>
      <w:r w:rsidR="00327756">
        <w:rPr>
          <w:color w:val="000000"/>
        </w:rPr>
        <w:t xml:space="preserve"> the resource plans </w:t>
      </w:r>
      <w:r w:rsidR="003F23CE">
        <w:rPr>
          <w:color w:val="000000"/>
        </w:rPr>
        <w:t xml:space="preserve">derived from reference </w:t>
      </w:r>
      <w:r w:rsidR="00947AEB">
        <w:rPr>
          <w:rFonts w:eastAsia="MS Mincho"/>
        </w:rPr>
        <w:fldChar w:fldCharType="begin"/>
      </w:r>
      <w:r w:rsidR="00947AEB">
        <w:rPr>
          <w:rFonts w:eastAsia="MS Mincho"/>
        </w:rPr>
        <w:instrText xml:space="preserve"> ADDIN EN.CITE &lt;EndNote&gt;&lt;Cite&gt;&lt;Year&gt;March 2021&lt;/Year&gt;&lt;RecNum&gt;14&lt;/RecNum&gt;&lt;DisplayText&gt;[16]&lt;/DisplayText&gt;&lt;record&gt;&lt;rec-number&gt;14&lt;/rec-number&gt;&lt;foreign-keys&gt;&lt;key app="EN" db-id="0t5529r5t9fw5eeevs6pvsf7zetpxrvxx2we" timestamp="1682959322"&gt;14&lt;/key&gt;&lt;/foreign-keys&gt;&lt;ref-type name="Unpublished Work"&gt;34&lt;/ref-type&gt;&lt;contributors&gt;&lt;/contributors&gt;&lt;titles&gt;&lt;title&gt;Direct testimony of Alice K. Jackson, Proceeding number 21A-0141E of the Colorado Public Utilities Commission, Plan overview and appendix 2. (Unpublished)&lt;/title&gt;&lt;/titles&gt;&lt;pages&gt;47-48 and 296&lt;/pages&gt;&lt;dates&gt;&lt;year&gt;March 2021&lt;/year&gt;&lt;/dates&gt;&lt;urls&gt;&lt;/urls&gt;&lt;/record&gt;&lt;/Cite&gt;&lt;/EndNote&gt;</w:instrText>
      </w:r>
      <w:r w:rsidR="00947AEB">
        <w:rPr>
          <w:rFonts w:eastAsia="MS Mincho"/>
        </w:rPr>
        <w:fldChar w:fldCharType="separate"/>
      </w:r>
      <w:r w:rsidR="00947AEB">
        <w:rPr>
          <w:rFonts w:eastAsia="MS Mincho"/>
          <w:noProof/>
        </w:rPr>
        <w:t>[16]</w:t>
      </w:r>
      <w:r w:rsidR="00947AEB">
        <w:rPr>
          <w:rFonts w:eastAsia="MS Mincho"/>
        </w:rPr>
        <w:fldChar w:fldCharType="end"/>
      </w:r>
      <w:r w:rsidR="003F23CE">
        <w:rPr>
          <w:color w:val="000000"/>
        </w:rPr>
        <w:t xml:space="preserve"> </w:t>
      </w:r>
      <w:r w:rsidR="00BC42FB">
        <w:rPr>
          <w:color w:val="000000"/>
        </w:rPr>
        <w:t>(</w:t>
      </w:r>
      <w:r w:rsidR="003F23CE">
        <w:rPr>
          <w:color w:val="000000"/>
        </w:rPr>
        <w:t>Fig. 1</w:t>
      </w:r>
      <w:r w:rsidR="00BC42FB">
        <w:rPr>
          <w:color w:val="000000"/>
        </w:rPr>
        <w:t>)</w:t>
      </w:r>
      <w:r w:rsidR="00327756">
        <w:rPr>
          <w:color w:val="000000"/>
        </w:rPr>
        <w:t xml:space="preserve">. </w:t>
      </w:r>
      <w:r w:rsidR="00164FAF">
        <w:rPr>
          <w:color w:val="000000"/>
        </w:rPr>
        <w:t xml:space="preserve">For California the hourly EIA data </w:t>
      </w:r>
      <w:r w:rsidR="00947AEB">
        <w:rPr>
          <w:color w:val="000000"/>
        </w:rPr>
        <w:fldChar w:fldCharType="begin"/>
      </w:r>
      <w:r w:rsidR="00947AEB">
        <w:rPr>
          <w:color w:val="000000"/>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sidR="00947AEB">
        <w:rPr>
          <w:color w:val="000000"/>
        </w:rPr>
        <w:fldChar w:fldCharType="separate"/>
      </w:r>
      <w:r w:rsidR="00947AEB">
        <w:rPr>
          <w:noProof/>
          <w:color w:val="000000"/>
        </w:rPr>
        <w:t>[15]</w:t>
      </w:r>
      <w:r w:rsidR="00947AEB">
        <w:rPr>
          <w:color w:val="000000"/>
        </w:rPr>
        <w:fldChar w:fldCharType="end"/>
      </w:r>
      <w:r w:rsidR="00164FAF">
        <w:rPr>
          <w:color w:val="000000"/>
        </w:rPr>
        <w:t xml:space="preserve"> for 2022 were used</w:t>
      </w:r>
      <w:r w:rsidR="00550419">
        <w:rPr>
          <w:color w:val="000000"/>
        </w:rPr>
        <w:t xml:space="preserve">. </w:t>
      </w:r>
      <w:r w:rsidR="00550419" w:rsidRPr="00583A0F">
        <w:rPr>
          <w:color w:val="000000" w:themeColor="text1"/>
        </w:rPr>
        <w:t>Here,</w:t>
      </w:r>
      <w:r w:rsidR="00DF5551" w:rsidRPr="00583A0F">
        <w:rPr>
          <w:color w:val="000000" w:themeColor="text1"/>
        </w:rPr>
        <w:t xml:space="preserve"> the geothermal and biomass are assumed </w:t>
      </w:r>
      <w:r w:rsidR="009264DC" w:rsidRPr="00583A0F">
        <w:rPr>
          <w:color w:val="000000" w:themeColor="text1"/>
        </w:rPr>
        <w:t>to be</w:t>
      </w:r>
      <w:r w:rsidR="00DF5551" w:rsidRPr="00583A0F">
        <w:rPr>
          <w:color w:val="000000" w:themeColor="text1"/>
        </w:rPr>
        <w:t xml:space="preserve"> a part of </w:t>
      </w:r>
      <w:r w:rsidR="00192A2C">
        <w:rPr>
          <w:color w:val="000000" w:themeColor="text1"/>
        </w:rPr>
        <w:t>“</w:t>
      </w:r>
      <w:r w:rsidR="00DF5551" w:rsidRPr="00583A0F">
        <w:rPr>
          <w:color w:val="000000" w:themeColor="text1"/>
        </w:rPr>
        <w:t>other</w:t>
      </w:r>
      <w:r w:rsidR="00192A2C">
        <w:rPr>
          <w:color w:val="000000" w:themeColor="text1"/>
        </w:rPr>
        <w:t>”</w:t>
      </w:r>
      <w:r w:rsidR="00DF5551" w:rsidRPr="00583A0F">
        <w:rPr>
          <w:color w:val="000000" w:themeColor="text1"/>
        </w:rPr>
        <w:t xml:space="preserve"> energy resources in the EIA data.</w:t>
      </w:r>
      <w:r w:rsidR="00DF5551" w:rsidRPr="00550419">
        <w:rPr>
          <w:color w:val="000000" w:themeColor="text1"/>
        </w:rPr>
        <w:t xml:space="preserve"> </w:t>
      </w:r>
      <w:r w:rsidR="008F3F75">
        <w:rPr>
          <w:color w:val="000000"/>
        </w:rPr>
        <w:t>R</w:t>
      </w:r>
      <w:r w:rsidR="00FF3077">
        <w:rPr>
          <w:color w:val="000000"/>
        </w:rPr>
        <w:t>eference</w:t>
      </w:r>
      <w:r w:rsidR="00947AEB">
        <w:rPr>
          <w:color w:val="000000"/>
        </w:rPr>
        <w:t xml:space="preserve"> </w:t>
      </w:r>
      <w:r w:rsidR="00947AEB">
        <w:rPr>
          <w:color w:val="000000"/>
        </w:rPr>
        <w:fldChar w:fldCharType="begin"/>
      </w:r>
      <w:r w:rsidR="00947AEB">
        <w:rPr>
          <w:color w:val="000000"/>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sidR="00947AEB">
        <w:rPr>
          <w:color w:val="000000"/>
        </w:rPr>
        <w:fldChar w:fldCharType="separate"/>
      </w:r>
      <w:r w:rsidR="00947AEB">
        <w:rPr>
          <w:noProof/>
          <w:color w:val="000000"/>
        </w:rPr>
        <w:t>[15]</w:t>
      </w:r>
      <w:r w:rsidR="00947AEB">
        <w:rPr>
          <w:color w:val="000000"/>
        </w:rPr>
        <w:fldChar w:fldCharType="end"/>
      </w:r>
      <w:r w:rsidR="00947AEB">
        <w:rPr>
          <w:color w:val="000000"/>
        </w:rPr>
        <w:t xml:space="preserve"> </w:t>
      </w:r>
      <w:r w:rsidR="004916F8">
        <w:rPr>
          <w:color w:val="000000"/>
        </w:rPr>
        <w:t>EIA reports the hourly utility-scale solar resources</w:t>
      </w:r>
      <w:r w:rsidR="003F23CE">
        <w:rPr>
          <w:color w:val="000000"/>
        </w:rPr>
        <w:t xml:space="preserve">. </w:t>
      </w:r>
      <w:r w:rsidR="00D97F7D">
        <w:rPr>
          <w:color w:val="000000"/>
        </w:rPr>
        <w:t>T</w:t>
      </w:r>
      <w:r w:rsidR="003F23CE">
        <w:rPr>
          <w:color w:val="000000"/>
        </w:rPr>
        <w:t xml:space="preserve">he small-scale solar generation has grown large enough to </w:t>
      </w:r>
      <w:r w:rsidR="00907649">
        <w:rPr>
          <w:color w:val="000000"/>
        </w:rPr>
        <w:t>affect the calculation</w:t>
      </w:r>
      <w:r w:rsidR="001A0656">
        <w:rPr>
          <w:color w:val="000000"/>
        </w:rPr>
        <w:t xml:space="preserve"> in California, so the utility-scale solar was increased by a</w:t>
      </w:r>
      <w:r w:rsidR="00AA0EED">
        <w:rPr>
          <w:color w:val="000000"/>
        </w:rPr>
        <w:t>n average</w:t>
      </w:r>
      <w:r w:rsidR="001A0656">
        <w:rPr>
          <w:color w:val="000000"/>
        </w:rPr>
        <w:t xml:space="preserve"> factor of 1.6, based on EIA data</w:t>
      </w:r>
      <w:r w:rsidR="00624E96">
        <w:rPr>
          <w:color w:val="000000"/>
        </w:rPr>
        <w:t xml:space="preserve"> </w:t>
      </w:r>
      <w:r w:rsidR="00624E96">
        <w:rPr>
          <w:color w:val="000000"/>
        </w:rPr>
        <w:fldChar w:fldCharType="begin"/>
      </w:r>
      <w:r w:rsidR="00624E96">
        <w:rPr>
          <w:color w:val="000000"/>
        </w:rPr>
        <w:instrText xml:space="preserve"> ADDIN EN.CITE &lt;EndNote&gt;&lt;Cite&gt;&lt;RecNum&gt;40&lt;/RecNum&gt;&lt;DisplayText&gt;[17]&lt;/DisplayText&gt;&lt;record&gt;&lt;rec-number&gt;40&lt;/rec-number&gt;&lt;foreign-keys&gt;&lt;key app="EN" db-id="0t5529r5t9fw5eeevs6pvsf7zetpxrvxx2we" timestamp="1685000664"&gt;40&lt;/key&gt;&lt;/foreign-keys&gt;&lt;ref-type name="Web Page"&gt;12&lt;/ref-type&gt;&lt;contributors&gt;&lt;authors&gt;&lt;author&gt;U.S. Energy Information Administration (EIA),&lt;/author&gt;&lt;/authors&gt;&lt;/contributors&gt;&lt;titles&gt;&lt;title&gt;Electricity Data Browser&lt;/title&gt;&lt;/titles&gt;&lt;volume&gt;2023&lt;/volume&gt;&lt;number&gt;May 24&lt;/number&gt;&lt;dates&gt;&lt;/dates&gt;&lt;urls&gt;&lt;related-urls&gt;&lt;url&gt;https://www.eia.gov/electricity/data/browser&lt;/url&gt;&lt;/related-urls&gt;&lt;/urls&gt;&lt;/record&gt;&lt;/Cite&gt;&lt;/EndNote&gt;</w:instrText>
      </w:r>
      <w:r w:rsidR="00624E96">
        <w:rPr>
          <w:color w:val="000000"/>
        </w:rPr>
        <w:fldChar w:fldCharType="separate"/>
      </w:r>
      <w:r w:rsidR="00624E96">
        <w:rPr>
          <w:noProof/>
          <w:color w:val="000000"/>
        </w:rPr>
        <w:t>[17]</w:t>
      </w:r>
      <w:r w:rsidR="00624E96">
        <w:rPr>
          <w:color w:val="000000"/>
        </w:rPr>
        <w:fldChar w:fldCharType="end"/>
      </w:r>
      <w:r w:rsidR="00907649">
        <w:rPr>
          <w:color w:val="000000"/>
        </w:rPr>
        <w:t>.</w:t>
      </w:r>
      <w:r w:rsidR="004916F8">
        <w:rPr>
          <w:color w:val="000000"/>
        </w:rPr>
        <w:t xml:space="preserve"> </w:t>
      </w:r>
    </w:p>
    <w:p w14:paraId="29C2F673" w14:textId="4285ACC0" w:rsidR="00327756" w:rsidRDefault="00FF3077" w:rsidP="008108E1">
      <w:pPr>
        <w:pStyle w:val="BodyText"/>
        <w:ind w:firstLine="0"/>
        <w:rPr>
          <w:color w:val="000000"/>
        </w:rPr>
      </w:pPr>
      <w:r>
        <w:rPr>
          <w:color w:val="000000"/>
        </w:rPr>
        <w:t xml:space="preserve">The resulting hourly data were plotted as heat maps. </w:t>
      </w:r>
      <w:r w:rsidRPr="00FF3077">
        <w:rPr>
          <w:color w:val="000000"/>
        </w:rPr>
        <w:t>The annual average values of fossil</w:t>
      </w:r>
      <w:r w:rsidR="008F3F75">
        <w:rPr>
          <w:color w:val="000000"/>
        </w:rPr>
        <w:t>-</w:t>
      </w:r>
      <w:r w:rsidRPr="00FF3077">
        <w:rPr>
          <w:color w:val="000000"/>
        </w:rPr>
        <w:t>fuel generation for each hour of the day were derived by calculating the average values throughout the entire year</w:t>
      </w:r>
      <w:r w:rsidR="00D97F7D" w:rsidRPr="00BC42FB">
        <w:rPr>
          <w:color w:val="000000"/>
        </w:rPr>
        <w:t>.</w:t>
      </w:r>
    </w:p>
    <w:p w14:paraId="37756E39" w14:textId="2CED49DC" w:rsidR="004916F8" w:rsidRDefault="005F6FE5" w:rsidP="00624E96">
      <w:pPr>
        <w:pStyle w:val="BodyText"/>
        <w:ind w:firstLine="0"/>
        <w:rPr>
          <w:color w:val="000000"/>
        </w:rPr>
      </w:pPr>
      <w:r>
        <w:rPr>
          <w:color w:val="000000"/>
        </w:rPr>
        <w:t>For the analysis of the pricing data</w:t>
      </w:r>
      <w:r w:rsidR="00DA0054">
        <w:rPr>
          <w:color w:val="000000"/>
        </w:rPr>
        <w:t>,</w:t>
      </w:r>
      <w:r w:rsidR="00327756" w:rsidRPr="00DA0054">
        <w:rPr>
          <w:color w:val="000000"/>
        </w:rPr>
        <w:t xml:space="preserve"> </w:t>
      </w:r>
      <w:r w:rsidR="00327756">
        <w:rPr>
          <w:color w:val="000000"/>
        </w:rPr>
        <w:t xml:space="preserve">the California Independent System Operator (CAISO) </w:t>
      </w:r>
      <w:r w:rsidR="00327756">
        <w:rPr>
          <w:color w:val="000000"/>
        </w:rPr>
        <w:fldChar w:fldCharType="begin"/>
      </w:r>
      <w:r w:rsidR="00624E96">
        <w:rPr>
          <w:color w:val="000000"/>
        </w:rPr>
        <w:instrText xml:space="preserve"> ADDIN EN.CITE &lt;EndNote&gt;&lt;Cite&gt;&lt;Author&gt;California Independent System Operator (CAISO)&lt;/Author&gt;&lt;RecNum&gt;27&lt;/RecNum&gt;&lt;DisplayText&gt;[18]&lt;/DisplayText&gt;&lt;record&gt;&lt;rec-number&gt;27&lt;/rec-number&gt;&lt;foreign-keys&gt;&lt;key app="EN" db-id="0t5529r5t9fw5eeevs6pvsf7zetpxrvxx2we" timestamp="1682960621"&gt;27&lt;/key&gt;&lt;/foreign-keys&gt;&lt;ref-type name="Web Page"&gt;12&lt;/ref-type&gt;&lt;contributors&gt;&lt;authors&gt;&lt;author&gt;California Independent System Operator (CAISO),&lt;/author&gt;&lt;/authors&gt;&lt;/contributors&gt;&lt;titles&gt;&lt;title&gt;LCG Consulting “Energyonline” website, CAISO Day-Ahead Pricing&lt;/title&gt;&lt;/titles&gt;&lt;volume&gt;2023&lt;/volume&gt;&lt;number&gt;April 10&lt;/number&gt;&lt;dates&gt;&lt;/dates&gt;&lt;urls&gt;&lt;related-urls&gt;&lt;url&gt;http://www.energyonline.com/Data/GenericData.aspx?DataId=22&amp;amp;CAISO___Day-Ahead_Price&lt;/url&gt;&lt;/related-urls&gt;&lt;/urls&gt;&lt;/record&gt;&lt;/Cite&gt;&lt;/EndNote&gt;</w:instrText>
      </w:r>
      <w:r w:rsidR="00327756">
        <w:rPr>
          <w:color w:val="000000"/>
        </w:rPr>
        <w:fldChar w:fldCharType="separate"/>
      </w:r>
      <w:r w:rsidR="00624E96">
        <w:rPr>
          <w:noProof/>
          <w:color w:val="000000"/>
        </w:rPr>
        <w:t>[18]</w:t>
      </w:r>
      <w:r w:rsidR="00327756">
        <w:rPr>
          <w:color w:val="000000"/>
        </w:rPr>
        <w:fldChar w:fldCharType="end"/>
      </w:r>
      <w:r w:rsidR="00327756">
        <w:rPr>
          <w:color w:val="000000"/>
        </w:rPr>
        <w:t xml:space="preserve"> data for day-ahead price of electricity </w:t>
      </w:r>
      <w:r>
        <w:rPr>
          <w:color w:val="000000"/>
        </w:rPr>
        <w:t>were</w:t>
      </w:r>
      <w:r w:rsidR="00327756">
        <w:rPr>
          <w:color w:val="000000"/>
        </w:rPr>
        <w:t xml:space="preserve"> </w:t>
      </w:r>
      <w:r>
        <w:rPr>
          <w:color w:val="000000"/>
        </w:rPr>
        <w:t xml:space="preserve">used. </w:t>
      </w:r>
      <w:r w:rsidR="00DA0054" w:rsidRPr="001F1B93">
        <w:rPr>
          <w:color w:val="000000" w:themeColor="text1"/>
        </w:rPr>
        <w:t xml:space="preserve">This </w:t>
      </w:r>
      <w:r w:rsidR="00550419" w:rsidRPr="001F1B93">
        <w:rPr>
          <w:color w:val="000000" w:themeColor="text1"/>
        </w:rPr>
        <w:t xml:space="preserve">set of </w:t>
      </w:r>
      <w:r w:rsidR="00DA0054" w:rsidRPr="001F1B93">
        <w:rPr>
          <w:color w:val="000000" w:themeColor="text1"/>
        </w:rPr>
        <w:t>data is used as the CAISO results</w:t>
      </w:r>
      <w:r w:rsidR="008C705E" w:rsidRPr="001F1B93">
        <w:rPr>
          <w:color w:val="000000" w:themeColor="text1"/>
        </w:rPr>
        <w:t xml:space="preserve"> for fossils generation</w:t>
      </w:r>
      <w:r w:rsidR="00DA0054" w:rsidRPr="001F1B93">
        <w:rPr>
          <w:color w:val="000000" w:themeColor="text1"/>
        </w:rPr>
        <w:t xml:space="preserve"> (not given here)</w:t>
      </w:r>
      <w:r w:rsidR="008C705E" w:rsidRPr="001F1B93">
        <w:rPr>
          <w:color w:val="000000" w:themeColor="text1"/>
        </w:rPr>
        <w:t xml:space="preserve"> have</w:t>
      </w:r>
      <w:r w:rsidR="00DA0054" w:rsidRPr="001F1B93">
        <w:rPr>
          <w:color w:val="000000" w:themeColor="text1"/>
        </w:rPr>
        <w:t xml:space="preserve"> similar trends with </w:t>
      </w:r>
      <w:r w:rsidR="00192A2C" w:rsidRPr="001F1B93">
        <w:rPr>
          <w:color w:val="000000" w:themeColor="text1"/>
        </w:rPr>
        <w:t xml:space="preserve">the state of </w:t>
      </w:r>
      <w:r w:rsidR="00DA0054" w:rsidRPr="001F1B93">
        <w:rPr>
          <w:color w:val="000000" w:themeColor="text1"/>
        </w:rPr>
        <w:t xml:space="preserve">California. </w:t>
      </w:r>
      <w:r w:rsidR="00DA0054" w:rsidRPr="00DA0054">
        <w:rPr>
          <w:color w:val="C00000"/>
        </w:rPr>
        <w:t xml:space="preserve"> </w:t>
      </w:r>
      <w:r>
        <w:rPr>
          <w:color w:val="000000"/>
        </w:rPr>
        <w:t>T</w:t>
      </w:r>
      <w:r w:rsidR="004916F8">
        <w:rPr>
          <w:color w:val="000000"/>
        </w:rPr>
        <w:t xml:space="preserve">he seasonal averages for </w:t>
      </w:r>
      <w:r>
        <w:rPr>
          <w:color w:val="000000"/>
        </w:rPr>
        <w:t xml:space="preserve">both </w:t>
      </w:r>
      <w:r w:rsidR="004916F8">
        <w:rPr>
          <w:color w:val="000000"/>
        </w:rPr>
        <w:t>price and fossil</w:t>
      </w:r>
      <w:r w:rsidR="008F3F75">
        <w:rPr>
          <w:color w:val="000000"/>
        </w:rPr>
        <w:t>-</w:t>
      </w:r>
      <w:r w:rsidR="004916F8">
        <w:rPr>
          <w:color w:val="000000"/>
        </w:rPr>
        <w:t xml:space="preserve">fuel intensity </w:t>
      </w:r>
      <w:r>
        <w:rPr>
          <w:color w:val="000000"/>
        </w:rPr>
        <w:t>were</w:t>
      </w:r>
      <w:r w:rsidR="004916F8">
        <w:rPr>
          <w:color w:val="000000"/>
        </w:rPr>
        <w:t xml:space="preserve"> calculated for Spring</w:t>
      </w:r>
      <w:r>
        <w:rPr>
          <w:color w:val="000000"/>
        </w:rPr>
        <w:t xml:space="preserve"> (March – May)</w:t>
      </w:r>
      <w:r w:rsidR="004916F8">
        <w:rPr>
          <w:color w:val="000000"/>
        </w:rPr>
        <w:t>, Summer</w:t>
      </w:r>
      <w:r>
        <w:rPr>
          <w:color w:val="000000"/>
        </w:rPr>
        <w:t xml:space="preserve"> (June – August)</w:t>
      </w:r>
      <w:r w:rsidR="004916F8">
        <w:rPr>
          <w:color w:val="000000"/>
        </w:rPr>
        <w:t>, Fall</w:t>
      </w:r>
      <w:r>
        <w:rPr>
          <w:color w:val="000000"/>
        </w:rPr>
        <w:t xml:space="preserve"> (September – November)</w:t>
      </w:r>
      <w:r w:rsidR="004916F8">
        <w:rPr>
          <w:color w:val="000000"/>
        </w:rPr>
        <w:t>, and Winter (Jan</w:t>
      </w:r>
      <w:r>
        <w:rPr>
          <w:color w:val="000000"/>
        </w:rPr>
        <w:t xml:space="preserve">uary – </w:t>
      </w:r>
      <w:r w:rsidR="004916F8">
        <w:rPr>
          <w:color w:val="000000"/>
        </w:rPr>
        <w:t>Feb</w:t>
      </w:r>
      <w:r>
        <w:rPr>
          <w:color w:val="000000"/>
        </w:rPr>
        <w:t>ruary</w:t>
      </w:r>
      <w:r w:rsidR="004916F8">
        <w:rPr>
          <w:color w:val="000000"/>
          <w:vertAlign w:val="superscript"/>
        </w:rPr>
        <w:t xml:space="preserve"> </w:t>
      </w:r>
      <w:r w:rsidR="004916F8">
        <w:rPr>
          <w:color w:val="000000"/>
        </w:rPr>
        <w:t>and Dec</w:t>
      </w:r>
      <w:r>
        <w:rPr>
          <w:color w:val="000000"/>
        </w:rPr>
        <w:t>ember</w:t>
      </w:r>
      <w:r w:rsidR="00FF3077">
        <w:rPr>
          <w:color w:val="000000"/>
        </w:rPr>
        <w:t>)</w:t>
      </w:r>
      <w:r w:rsidR="000A435C">
        <w:rPr>
          <w:color w:val="000000"/>
        </w:rPr>
        <w:t xml:space="preserve"> all</w:t>
      </w:r>
      <w:r w:rsidR="004916F8">
        <w:rPr>
          <w:color w:val="000000"/>
        </w:rPr>
        <w:t xml:space="preserve"> in 2022.</w:t>
      </w:r>
    </w:p>
    <w:p w14:paraId="2F124F62" w14:textId="77777777" w:rsidR="00B070A3" w:rsidRDefault="00B070A3" w:rsidP="005D2A97">
      <w:pPr>
        <w:pStyle w:val="Heading1"/>
        <w:rPr>
          <w:color w:val="000000"/>
        </w:rPr>
      </w:pPr>
      <w:r>
        <w:rPr>
          <w:color w:val="000000"/>
        </w:rPr>
        <w:t xml:space="preserve">Results </w:t>
      </w:r>
    </w:p>
    <w:p w14:paraId="5E3FB21F" w14:textId="77FFB18F" w:rsidR="00F30FD8" w:rsidRPr="00DE65F5" w:rsidRDefault="00DE65F5" w:rsidP="00197F85">
      <w:pPr>
        <w:pStyle w:val="Heading2"/>
      </w:pPr>
      <w:r>
        <w:t xml:space="preserve"> </w:t>
      </w:r>
      <w:r w:rsidR="00540C27" w:rsidRPr="00DE65F5">
        <w:t>Renewable fraction vs. hour and season</w:t>
      </w:r>
    </w:p>
    <w:p w14:paraId="2DCC8F3A" w14:textId="2637538B" w:rsidR="00490B1F" w:rsidRDefault="00E22E68" w:rsidP="00DF5551">
      <w:pPr>
        <w:pStyle w:val="BodyText"/>
      </w:pPr>
      <w:r>
        <w:t xml:space="preserve">Figure 2 shows EIA data for the fraction of total generation </w:t>
      </w:r>
      <w:r w:rsidR="00DE65F5">
        <w:t>from fossil fuels</w:t>
      </w:r>
      <w:r w:rsidR="00DD6E8F">
        <w:t xml:space="preserve"> for </w:t>
      </w:r>
      <w:r w:rsidR="00DE65F5">
        <w:t>four cases</w:t>
      </w:r>
      <w:r w:rsidR="00DD6E8F">
        <w:t>.</w:t>
      </w:r>
      <w:r w:rsidR="00DE65F5">
        <w:t xml:space="preserve"> The top graphs (Fig. 2a) show the generation reported for 2019 for Colorado.</w:t>
      </w:r>
      <w:r>
        <w:t xml:space="preserve">  Then</w:t>
      </w:r>
      <w:r w:rsidR="00DE65F5">
        <w:t>, in Figs. 2b and 2c,</w:t>
      </w:r>
      <w:r>
        <w:t xml:space="preserve"> for 2023 and 2030</w:t>
      </w:r>
      <w:r w:rsidR="00192A2C">
        <w:t>,</w:t>
      </w:r>
      <w:r>
        <w:t xml:space="preserve"> the PV and </w:t>
      </w:r>
      <w:r w:rsidR="00192A2C">
        <w:t>w</w:t>
      </w:r>
      <w:r>
        <w:t xml:space="preserve">ind from the 2019 data </w:t>
      </w:r>
      <w:r w:rsidR="00DE65F5">
        <w:t>are</w:t>
      </w:r>
      <w:r>
        <w:t xml:space="preserve"> scaled to the fraction reported by </w:t>
      </w:r>
      <w:proofErr w:type="spellStart"/>
      <w:r>
        <w:t>PSCo</w:t>
      </w:r>
      <w:proofErr w:type="spellEnd"/>
      <w:r>
        <w:t xml:space="preserve"> in their resource planning projections.</w:t>
      </w:r>
      <w:r w:rsidR="00490B1F">
        <w:t xml:space="preserve"> The fourth and final set of graphs (Fig. 2d) </w:t>
      </w:r>
      <w:r w:rsidR="00490B1F">
        <w:rPr>
          <w:color w:val="000000"/>
        </w:rPr>
        <w:t>show</w:t>
      </w:r>
      <w:r w:rsidR="008A0D6C">
        <w:rPr>
          <w:color w:val="000000"/>
        </w:rPr>
        <w:t xml:space="preserve"> the composition of electricity generation resources in California</w:t>
      </w:r>
      <w:r w:rsidR="00DF5551">
        <w:rPr>
          <w:color w:val="000000"/>
        </w:rPr>
        <w:t xml:space="preserve"> </w:t>
      </w:r>
      <w:r w:rsidR="008A0D6C">
        <w:rPr>
          <w:color w:val="000000"/>
        </w:rPr>
        <w:t xml:space="preserve">for 2022. </w:t>
      </w:r>
      <w:r w:rsidR="00DD6E8F">
        <w:rPr>
          <w:color w:val="000000"/>
        </w:rPr>
        <w:t xml:space="preserve">Here, 2019 (Fig. 2 (a)) and 2023 data (Fig. 2 (b)) </w:t>
      </w:r>
      <w:r w:rsidR="00DD6E8F" w:rsidRPr="00583A0F">
        <w:rPr>
          <w:color w:val="000000"/>
        </w:rPr>
        <w:t xml:space="preserve">are based on </w:t>
      </w:r>
      <w:r w:rsidR="00192A2C" w:rsidRPr="00583A0F">
        <w:rPr>
          <w:color w:val="000000"/>
        </w:rPr>
        <w:t xml:space="preserve">the </w:t>
      </w:r>
      <w:r w:rsidR="00DD6E8F" w:rsidRPr="00583A0F">
        <w:rPr>
          <w:color w:val="000000"/>
        </w:rPr>
        <w:t>2016 resource plan approved in 2018, and 2030 generation data (Fig. 2 (c)) is based on</w:t>
      </w:r>
      <w:r w:rsidR="00192A2C" w:rsidRPr="00583A0F">
        <w:rPr>
          <w:color w:val="000000"/>
        </w:rPr>
        <w:t xml:space="preserve"> the</w:t>
      </w:r>
      <w:r w:rsidR="00DD6E8F" w:rsidRPr="00583A0F">
        <w:rPr>
          <w:color w:val="000000"/>
        </w:rPr>
        <w:t xml:space="preserve"> 2023-2030 plan proposed in 2021</w:t>
      </w:r>
      <w:r w:rsidR="00DD6E8F">
        <w:rPr>
          <w:color w:val="000000"/>
        </w:rPr>
        <w:t xml:space="preserve">. </w:t>
      </w:r>
      <w:r w:rsidR="00B65F3A">
        <w:rPr>
          <w:color w:val="000000"/>
        </w:rPr>
        <w:t>The</w:t>
      </w:r>
      <w:r w:rsidR="00490B1F">
        <w:rPr>
          <w:color w:val="000000"/>
        </w:rPr>
        <w:t xml:space="preserve"> hourly data are shown as heat maps on the left set of graphs in Fig. 2, </w:t>
      </w:r>
      <w:r w:rsidR="00412F6F">
        <w:rPr>
          <w:color w:val="000000"/>
        </w:rPr>
        <w:t>with</w:t>
      </w:r>
      <w:r w:rsidR="00490B1F">
        <w:rPr>
          <w:color w:val="000000"/>
        </w:rPr>
        <w:t xml:space="preserve"> the hour of the day plotted on the y axis and the day of the year plotted on the x axis, with the color indicating the fraction of fossil</w:t>
      </w:r>
      <w:r w:rsidR="00412F6F">
        <w:rPr>
          <w:color w:val="000000"/>
        </w:rPr>
        <w:t>-</w:t>
      </w:r>
      <w:r w:rsidR="00490B1F">
        <w:rPr>
          <w:color w:val="000000"/>
        </w:rPr>
        <w:t>fuel generation for each hour. The set of graphs on the right side of Fig. 2 show the average daily trends for that year, with the fossil</w:t>
      </w:r>
      <w:r w:rsidR="00412F6F">
        <w:rPr>
          <w:color w:val="000000"/>
        </w:rPr>
        <w:t>-</w:t>
      </w:r>
      <w:r w:rsidR="00490B1F">
        <w:rPr>
          <w:color w:val="000000"/>
        </w:rPr>
        <w:t>fuel generation indicated by black</w:t>
      </w:r>
      <w:r w:rsidR="004B1A34">
        <w:rPr>
          <w:color w:val="000000"/>
        </w:rPr>
        <w:t xml:space="preserve"> and the renewables fraction indicated by green</w:t>
      </w:r>
      <w:r w:rsidR="00490B1F">
        <w:rPr>
          <w:color w:val="000000"/>
        </w:rPr>
        <w:t>.</w:t>
      </w:r>
      <w:r>
        <w:t xml:space="preserve"> </w:t>
      </w:r>
    </w:p>
    <w:p w14:paraId="4CA13517" w14:textId="74742530" w:rsidR="00DD6E8F" w:rsidRDefault="00490B1F" w:rsidP="00327756">
      <w:pPr>
        <w:pStyle w:val="BodyText"/>
        <w:rPr>
          <w:rFonts w:eastAsia="MS Mincho"/>
        </w:rPr>
      </w:pPr>
      <w:r>
        <w:t xml:space="preserve">The </w:t>
      </w:r>
      <w:r w:rsidR="00E22E68">
        <w:t>visualization</w:t>
      </w:r>
      <w:r w:rsidR="00A336F9">
        <w:t>s</w:t>
      </w:r>
      <w:r w:rsidR="00E22E68">
        <w:t xml:space="preserve"> for 2023 and 2030 are the </w:t>
      </w:r>
      <w:r>
        <w:t>fossil</w:t>
      </w:r>
      <w:r w:rsidR="00412F6F">
        <w:t>-</w:t>
      </w:r>
      <w:r>
        <w:t>fuel</w:t>
      </w:r>
      <w:r w:rsidR="00E22E68">
        <w:t xml:space="preserve"> percentages that </w:t>
      </w:r>
      <w:r>
        <w:t>were reported</w:t>
      </w:r>
      <w:r w:rsidR="00E22E68">
        <w:t xml:space="preserve"> in 2019 with</w:t>
      </w:r>
      <w:r>
        <w:t xml:space="preserve"> added generation from</w:t>
      </w:r>
      <w:r w:rsidR="00E22E68">
        <w:t xml:space="preserve"> the PV and wind resources planned for </w:t>
      </w:r>
      <w:r w:rsidR="00B65F3A">
        <w:t xml:space="preserve">2023 and </w:t>
      </w:r>
      <w:r w:rsidR="00E22E68">
        <w:t xml:space="preserve">2030. The abrupt increase in PV is obvious in the 2023 projection, as the daytime </w:t>
      </w:r>
      <w:r w:rsidR="00E22E68">
        <w:lastRenderedPageBreak/>
        <w:t xml:space="preserve">hours become suddenly very clean with bright green being hours with 100% renewable electricity available due to the </w:t>
      </w:r>
      <w:r w:rsidR="00CA7DE4">
        <w:t>25-39</w:t>
      </w:r>
      <w:r w:rsidR="00E22E68">
        <w:t xml:space="preserve"> percent already served by wind</w:t>
      </w:r>
      <w:r w:rsidR="006F562B">
        <w:t>.</w:t>
      </w:r>
      <w:r w:rsidR="00E22E68">
        <w:t xml:space="preserve"> </w:t>
      </w:r>
      <w:r w:rsidR="006F562B">
        <w:t>From the 2019 data when there was little PV</w:t>
      </w:r>
      <w:r w:rsidR="00BC1176">
        <w:t xml:space="preserve"> (Fig. 2a)</w:t>
      </w:r>
      <w:r w:rsidR="006F562B">
        <w:t xml:space="preserve">, </w:t>
      </w:r>
      <w:proofErr w:type="gramStart"/>
      <w:r w:rsidR="006F562B">
        <w:t>it is clear that wind</w:t>
      </w:r>
      <w:proofErr w:type="gramEnd"/>
      <w:r w:rsidR="006F562B">
        <w:t xml:space="preserve"> </w:t>
      </w:r>
      <w:r w:rsidR="005C5916">
        <w:t>h</w:t>
      </w:r>
      <w:r w:rsidR="006F562B">
        <w:t>as little daily pattern when taken as an annual average</w:t>
      </w:r>
      <w:r w:rsidR="00E22E68">
        <w:t>.</w:t>
      </w:r>
      <w:r w:rsidR="006F562B">
        <w:t xml:space="preserve"> </w:t>
      </w:r>
      <w:r w:rsidR="00E22E68">
        <w:t>Days become progressively cleaner as the PV addit</w:t>
      </w:r>
      <w:r w:rsidR="009903A4">
        <w:t>i</w:t>
      </w:r>
      <w:r w:rsidR="00E22E68">
        <w:t xml:space="preserve">ons rise gradually </w:t>
      </w:r>
      <w:r w:rsidR="00CA7DE4">
        <w:t>through</w:t>
      </w:r>
      <w:r w:rsidR="00E22E68">
        <w:t xml:space="preserve"> the decade, arriving at the 2030 visualization, in which daytime is saturated with renewable energy</w:t>
      </w:r>
      <w:r w:rsidR="009903A4">
        <w:t>.  The difference between night and day makes intuitive sense as well.  Onshore wind usually has a capacity f</w:t>
      </w:r>
      <w:r w:rsidR="00F05990">
        <w:t>actor of about 40-50%. From Figure</w:t>
      </w:r>
      <w:r w:rsidR="009903A4">
        <w:t xml:space="preserve"> 2, this</w:t>
      </w:r>
      <w:r w:rsidR="00CA7DE4">
        <w:t xml:space="preserve"> wind</w:t>
      </w:r>
      <w:r w:rsidR="009903A4">
        <w:t xml:space="preserve"> is not on a daily schedule, but is periodic with a few windy days followed by days with less wind. April was generally windy in 2019.  With this pattern, it is difficult to exceed 50% renewables at night </w:t>
      </w:r>
      <w:r w:rsidR="00CA7DE4">
        <w:t xml:space="preserve">on average </w:t>
      </w:r>
      <w:r w:rsidR="009903A4">
        <w:t xml:space="preserve">without extensive curtailment. On the other hand, the capacity factor for PV during daytime hours can be very high. During daytime, </w:t>
      </w:r>
      <w:r w:rsidR="00183F00">
        <w:t>the</w:t>
      </w:r>
      <w:r w:rsidR="009903A4">
        <w:t xml:space="preserve"> PV </w:t>
      </w:r>
      <w:r w:rsidR="00183F00">
        <w:t>and</w:t>
      </w:r>
      <w:r w:rsidR="009903A4">
        <w:t xml:space="preserve"> wind </w:t>
      </w:r>
      <w:r w:rsidR="00183F00">
        <w:t>generation may displace fossil fuel entirely</w:t>
      </w:r>
      <w:r w:rsidR="009903A4">
        <w:t xml:space="preserve">.  </w:t>
      </w:r>
      <w:r w:rsidR="002C6FFF">
        <w:t>Th</w:t>
      </w:r>
      <w:r w:rsidR="00183F00">
        <w:t>e</w:t>
      </w:r>
      <w:r w:rsidR="002C6FFF">
        <w:t xml:space="preserve"> </w:t>
      </w:r>
      <w:proofErr w:type="gramStart"/>
      <w:r w:rsidR="002C6FFF">
        <w:t>high</w:t>
      </w:r>
      <w:r w:rsidR="00412F6F">
        <w:t xml:space="preserve"> </w:t>
      </w:r>
      <w:r w:rsidR="002C6FFF">
        <w:t>capacity</w:t>
      </w:r>
      <w:proofErr w:type="gramEnd"/>
      <w:r w:rsidR="002C6FFF">
        <w:t xml:space="preserve"> factor for PV</w:t>
      </w:r>
      <w:r w:rsidR="00183F00">
        <w:t xml:space="preserve"> during daytime hours</w:t>
      </w:r>
      <w:r w:rsidR="002C6FFF">
        <w:t xml:space="preserve"> complemented by wind makes it quite straightforward to approach very high fractions of renewables in a region with Colorado’s resources</w:t>
      </w:r>
      <w:r w:rsidR="002C6FFF" w:rsidRPr="00164224">
        <w:rPr>
          <w:rFonts w:eastAsia="MS Mincho"/>
        </w:rPr>
        <w:t>.</w:t>
      </w:r>
      <w:r w:rsidR="00956408">
        <w:rPr>
          <w:rFonts w:eastAsia="MS Mincho"/>
        </w:rPr>
        <w:t xml:space="preserve"> </w:t>
      </w:r>
    </w:p>
    <w:p w14:paraId="5F7E876C" w14:textId="1C73DF23" w:rsidR="00CE038A" w:rsidRDefault="00CE038A" w:rsidP="00624E96">
      <w:pPr>
        <w:pStyle w:val="BodyText"/>
        <w:rPr>
          <w:rFonts w:eastAsia="MS Mincho"/>
          <w:color w:val="000000"/>
        </w:rPr>
      </w:pPr>
      <w:r>
        <w:rPr>
          <w:color w:val="000000"/>
        </w:rPr>
        <w:t xml:space="preserve">Comparing the future predictions of Colorado with the patterns </w:t>
      </w:r>
      <w:r w:rsidR="00963AE2">
        <w:rPr>
          <w:color w:val="000000"/>
        </w:rPr>
        <w:t>for</w:t>
      </w:r>
      <w:r w:rsidR="008500EF">
        <w:rPr>
          <w:color w:val="000000"/>
        </w:rPr>
        <w:t xml:space="preserve"> a</w:t>
      </w:r>
      <w:r w:rsidR="00963AE2">
        <w:rPr>
          <w:color w:val="000000"/>
        </w:rPr>
        <w:t xml:space="preserve"> </w:t>
      </w:r>
      <w:r>
        <w:rPr>
          <w:color w:val="000000"/>
        </w:rPr>
        <w:t>location that already ha</w:t>
      </w:r>
      <w:r w:rsidR="00C72B95">
        <w:rPr>
          <w:color w:val="000000"/>
        </w:rPr>
        <w:t>s</w:t>
      </w:r>
      <w:r>
        <w:rPr>
          <w:color w:val="000000"/>
        </w:rPr>
        <w:t xml:space="preserve"> reached a high level of </w:t>
      </w:r>
      <w:r w:rsidR="004916F8">
        <w:rPr>
          <w:color w:val="000000"/>
        </w:rPr>
        <w:t>solar</w:t>
      </w:r>
      <w:r>
        <w:rPr>
          <w:color w:val="000000"/>
        </w:rPr>
        <w:t xml:space="preserve"> energy targets can </w:t>
      </w:r>
      <w:r w:rsidR="008500EF">
        <w:rPr>
          <w:color w:val="000000"/>
        </w:rPr>
        <w:t>confirm</w:t>
      </w:r>
      <w:r w:rsidR="008A0D6C">
        <w:rPr>
          <w:color w:val="000000"/>
        </w:rPr>
        <w:t xml:space="preserve"> </w:t>
      </w:r>
      <w:r>
        <w:rPr>
          <w:color w:val="000000"/>
        </w:rPr>
        <w:t xml:space="preserve">the </w:t>
      </w:r>
      <w:r w:rsidR="008500EF">
        <w:rPr>
          <w:color w:val="000000"/>
        </w:rPr>
        <w:t>accuracy</w:t>
      </w:r>
      <w:r>
        <w:rPr>
          <w:color w:val="000000"/>
        </w:rPr>
        <w:t xml:space="preserve"> of </w:t>
      </w:r>
      <w:r w:rsidR="008500EF">
        <w:rPr>
          <w:color w:val="000000"/>
        </w:rPr>
        <w:t>the projections</w:t>
      </w:r>
      <w:r>
        <w:rPr>
          <w:color w:val="000000"/>
        </w:rPr>
        <w:t xml:space="preserve">. California is aiming to obtain 100% clean electricity in the near future based on </w:t>
      </w:r>
      <w:r w:rsidR="008500EF">
        <w:rPr>
          <w:color w:val="000000"/>
        </w:rPr>
        <w:t xml:space="preserve">California’s Senate Bill </w:t>
      </w:r>
      <w:r>
        <w:rPr>
          <w:color w:val="000000"/>
        </w:rPr>
        <w:t xml:space="preserve">100 </w:t>
      </w:r>
      <w:r>
        <w:rPr>
          <w:color w:val="000000"/>
        </w:rPr>
        <w:fldChar w:fldCharType="begin"/>
      </w:r>
      <w:r w:rsidR="00624E96">
        <w:rPr>
          <w:color w:val="000000"/>
        </w:rPr>
        <w:instrText xml:space="preserve"> ADDIN EN.CITE &lt;EndNote&gt;&lt;Cite&gt;&lt;Author&gt;California Energy Commission&lt;/Author&gt;&lt;RecNum&gt;26&lt;/RecNum&gt;&lt;DisplayText&gt;[19]&lt;/DisplayText&gt;&lt;record&gt;&lt;rec-number&gt;26&lt;/rec-number&gt;&lt;foreign-keys&gt;&lt;key app="EN" db-id="0t5529r5t9fw5eeevs6pvsf7zetpxrvxx2we" timestamp="1682960489"&gt;26&lt;/key&gt;&lt;/foreign-keys&gt;&lt;ref-type name="Web Page"&gt;12&lt;/ref-type&gt;&lt;contributors&gt;&lt;authors&gt;&lt;author&gt;California Energy Commission,&lt;/author&gt;&lt;/authors&gt;&lt;/contributors&gt;&lt;titles&gt;&lt;title&gt;SB 100 Joint Agency Report&lt;/title&gt;&lt;/titles&gt;&lt;volume&gt;2023&lt;/volume&gt;&lt;number&gt;April 10&lt;/number&gt;&lt;dates&gt;&lt;/dates&gt;&lt;urls&gt;&lt;related-urls&gt;&lt;url&gt;https://www.energy.ca.gov/sb100 &lt;/url&gt;&lt;/related-urls&gt;&lt;/urls&gt;&lt;custom1&gt;2023&lt;/custom1&gt;&lt;custom2&gt;April 2023&lt;/custom2&gt;&lt;/record&gt;&lt;/Cite&gt;&lt;/EndNote&gt;</w:instrText>
      </w:r>
      <w:r>
        <w:rPr>
          <w:color w:val="000000"/>
        </w:rPr>
        <w:fldChar w:fldCharType="separate"/>
      </w:r>
      <w:r w:rsidR="00624E96">
        <w:rPr>
          <w:noProof/>
          <w:color w:val="000000"/>
        </w:rPr>
        <w:t>[19]</w:t>
      </w:r>
      <w:r>
        <w:rPr>
          <w:color w:val="000000"/>
        </w:rPr>
        <w:fldChar w:fldCharType="end"/>
      </w:r>
      <w:r>
        <w:rPr>
          <w:color w:val="000000"/>
        </w:rPr>
        <w:t xml:space="preserve">. </w:t>
      </w:r>
      <w:r w:rsidR="000421EC">
        <w:rPr>
          <w:color w:val="000000"/>
        </w:rPr>
        <w:t xml:space="preserve">California </w:t>
      </w:r>
      <w:r w:rsidR="00F067D6">
        <w:rPr>
          <w:color w:val="000000"/>
        </w:rPr>
        <w:t>currently</w:t>
      </w:r>
      <w:r w:rsidR="000421EC">
        <w:rPr>
          <w:color w:val="000000"/>
        </w:rPr>
        <w:t xml:space="preserve"> uses </w:t>
      </w:r>
      <w:r w:rsidR="00F067D6">
        <w:rPr>
          <w:color w:val="000000"/>
        </w:rPr>
        <w:t>both</w:t>
      </w:r>
      <w:r w:rsidR="000421EC">
        <w:rPr>
          <w:color w:val="000000"/>
        </w:rPr>
        <w:t xml:space="preserve"> clean sources for electricity generation</w:t>
      </w:r>
      <w:r w:rsidR="00246E57">
        <w:rPr>
          <w:color w:val="000000"/>
        </w:rPr>
        <w:t xml:space="preserve"> such as</w:t>
      </w:r>
      <w:r w:rsidR="000421EC">
        <w:rPr>
          <w:color w:val="000000"/>
        </w:rPr>
        <w:t xml:space="preserve"> </w:t>
      </w:r>
      <w:r w:rsidR="00A5578D">
        <w:rPr>
          <w:color w:val="000000"/>
        </w:rPr>
        <w:t xml:space="preserve">utility-scale </w:t>
      </w:r>
      <w:r w:rsidR="000421EC">
        <w:rPr>
          <w:color w:val="000000"/>
        </w:rPr>
        <w:t>solar</w:t>
      </w:r>
      <w:r w:rsidR="008108E1">
        <w:rPr>
          <w:color w:val="000000"/>
        </w:rPr>
        <w:t xml:space="preserve"> and small</w:t>
      </w:r>
      <w:r w:rsidR="00A5578D">
        <w:rPr>
          <w:color w:val="000000"/>
        </w:rPr>
        <w:t>-</w:t>
      </w:r>
      <w:r w:rsidR="008108E1">
        <w:rPr>
          <w:color w:val="000000"/>
        </w:rPr>
        <w:t>scale</w:t>
      </w:r>
      <w:r w:rsidR="00A5578D">
        <w:rPr>
          <w:color w:val="000000"/>
        </w:rPr>
        <w:t xml:space="preserve"> solar</w:t>
      </w:r>
      <w:r w:rsidR="000421EC">
        <w:rPr>
          <w:color w:val="000000"/>
        </w:rPr>
        <w:t xml:space="preserve">, wind, hydro, </w:t>
      </w:r>
      <w:r w:rsidR="008A0D6C">
        <w:rPr>
          <w:color w:val="000000"/>
        </w:rPr>
        <w:t xml:space="preserve">and </w:t>
      </w:r>
      <w:r w:rsidR="000421EC">
        <w:rPr>
          <w:color w:val="000000"/>
        </w:rPr>
        <w:t xml:space="preserve">nuclear </w:t>
      </w:r>
      <w:r w:rsidR="00A5578D">
        <w:rPr>
          <w:color w:val="000000"/>
        </w:rPr>
        <w:t>electricity</w:t>
      </w:r>
      <w:r w:rsidR="000421EC">
        <w:rPr>
          <w:color w:val="000000"/>
        </w:rPr>
        <w:t xml:space="preserve"> </w:t>
      </w:r>
      <w:r w:rsidR="00F067D6">
        <w:rPr>
          <w:color w:val="000000"/>
        </w:rPr>
        <w:t>and</w:t>
      </w:r>
      <w:r w:rsidR="000421EC">
        <w:rPr>
          <w:color w:val="000000"/>
        </w:rPr>
        <w:t xml:space="preserve"> fossil fuels</w:t>
      </w:r>
      <w:r w:rsidR="00963AE2">
        <w:rPr>
          <w:color w:val="000000"/>
        </w:rPr>
        <w:t xml:space="preserve"> including </w:t>
      </w:r>
      <w:r w:rsidR="000421EC">
        <w:rPr>
          <w:color w:val="000000"/>
        </w:rPr>
        <w:t xml:space="preserve">oil, natural gas, and coal.  </w:t>
      </w:r>
      <w:r w:rsidR="00963AE2">
        <w:rPr>
          <w:color w:val="000000"/>
        </w:rPr>
        <w:t xml:space="preserve">This </w:t>
      </w:r>
      <w:r w:rsidR="0095514F">
        <w:rPr>
          <w:color w:val="000000"/>
        </w:rPr>
        <w:t>state</w:t>
      </w:r>
      <w:r w:rsidR="000421EC">
        <w:rPr>
          <w:color w:val="000000"/>
        </w:rPr>
        <w:t xml:space="preserve"> </w:t>
      </w:r>
      <w:r w:rsidR="00BC1176">
        <w:rPr>
          <w:color w:val="000000"/>
        </w:rPr>
        <w:t>exports/imports significant</w:t>
      </w:r>
      <w:r w:rsidR="000421EC">
        <w:rPr>
          <w:color w:val="000000"/>
        </w:rPr>
        <w:t xml:space="preserve"> electricity from/to other neighbor territories </w:t>
      </w:r>
      <w:r w:rsidR="000421EC" w:rsidRPr="004F0C40">
        <w:rPr>
          <w:color w:val="000000" w:themeColor="text1"/>
        </w:rPr>
        <w:t xml:space="preserve">which </w:t>
      </w:r>
      <w:r w:rsidR="00093D42" w:rsidRPr="004F0C40">
        <w:rPr>
          <w:color w:val="000000" w:themeColor="text1"/>
        </w:rPr>
        <w:t xml:space="preserve">must be considered in the strategy </w:t>
      </w:r>
      <w:r w:rsidR="00857F04" w:rsidRPr="004F0C40">
        <w:rPr>
          <w:color w:val="000000" w:themeColor="text1"/>
        </w:rPr>
        <w:t>that is used for</w:t>
      </w:r>
      <w:r w:rsidR="00093D42" w:rsidRPr="004F0C40">
        <w:rPr>
          <w:color w:val="000000" w:themeColor="text1"/>
        </w:rPr>
        <w:t xml:space="preserve"> </w:t>
      </w:r>
      <w:r w:rsidR="00857F04" w:rsidRPr="004F0C40">
        <w:rPr>
          <w:color w:val="000000" w:themeColor="text1"/>
        </w:rPr>
        <w:t>calculating</w:t>
      </w:r>
      <w:r w:rsidR="000421EC" w:rsidRPr="004F0C40">
        <w:rPr>
          <w:color w:val="000000" w:themeColor="text1"/>
        </w:rPr>
        <w:t xml:space="preserve"> the percentage of fossils </w:t>
      </w:r>
      <w:r w:rsidR="000421EC" w:rsidRPr="004F0C40">
        <w:rPr>
          <w:color w:val="000000" w:themeColor="text1"/>
        </w:rPr>
        <w:fldChar w:fldCharType="begin"/>
      </w:r>
      <w:r w:rsidR="00BC298F" w:rsidRPr="004F0C40">
        <w:rPr>
          <w:color w:val="000000" w:themeColor="text1"/>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sidR="000421EC" w:rsidRPr="004F0C40">
        <w:rPr>
          <w:color w:val="000000" w:themeColor="text1"/>
        </w:rPr>
        <w:fldChar w:fldCharType="separate"/>
      </w:r>
      <w:r w:rsidR="00E9071B" w:rsidRPr="004F0C40">
        <w:rPr>
          <w:noProof/>
          <w:color w:val="000000" w:themeColor="text1"/>
        </w:rPr>
        <w:t>[15]</w:t>
      </w:r>
      <w:r w:rsidR="000421EC" w:rsidRPr="004F0C40">
        <w:rPr>
          <w:color w:val="000000" w:themeColor="text1"/>
        </w:rPr>
        <w:fldChar w:fldCharType="end"/>
      </w:r>
      <w:r w:rsidR="000421EC" w:rsidRPr="004F0C40">
        <w:rPr>
          <w:color w:val="000000" w:themeColor="text1"/>
        </w:rPr>
        <w:t>.</w:t>
      </w:r>
      <w:r w:rsidR="00093D42" w:rsidRPr="004F0C40">
        <w:rPr>
          <w:color w:val="000000" w:themeColor="text1"/>
        </w:rPr>
        <w:t xml:space="preserve"> Here, the calculations are based on electricity generation including exports and </w:t>
      </w:r>
      <w:proofErr w:type="spellStart"/>
      <w:r w:rsidR="00093D42" w:rsidRPr="004F0C40">
        <w:rPr>
          <w:color w:val="000000" w:themeColor="text1"/>
        </w:rPr>
        <w:t>exluding</w:t>
      </w:r>
      <w:proofErr w:type="spellEnd"/>
      <w:r w:rsidR="00093D42" w:rsidRPr="004F0C40">
        <w:rPr>
          <w:color w:val="000000" w:themeColor="text1"/>
        </w:rPr>
        <w:t xml:space="preserve"> imports.</w:t>
      </w:r>
      <w:r w:rsidR="001D0DCE" w:rsidRPr="004F0C40">
        <w:rPr>
          <w:color w:val="000000" w:themeColor="text1"/>
        </w:rPr>
        <w:t xml:space="preserve"> </w:t>
      </w:r>
      <w:r w:rsidR="000421EC" w:rsidRPr="004F0C40">
        <w:rPr>
          <w:color w:val="000000" w:themeColor="text1"/>
        </w:rPr>
        <w:t>E</w:t>
      </w:r>
      <w:r w:rsidRPr="004F0C40">
        <w:rPr>
          <w:color w:val="000000" w:themeColor="text1"/>
        </w:rPr>
        <w:t xml:space="preserve">ven now, analyzing the electricity generation </w:t>
      </w:r>
      <w:r w:rsidR="005C1B12" w:rsidRPr="004F0C40">
        <w:rPr>
          <w:color w:val="000000" w:themeColor="text1"/>
        </w:rPr>
        <w:t>re</w:t>
      </w:r>
      <w:r w:rsidRPr="004F0C40">
        <w:rPr>
          <w:color w:val="000000" w:themeColor="text1"/>
        </w:rPr>
        <w:t xml:space="preserve">sources using EIA </w:t>
      </w:r>
      <w:r>
        <w:rPr>
          <w:color w:val="000000"/>
        </w:rPr>
        <w:t xml:space="preserve">data </w:t>
      </w:r>
      <w:r>
        <w:rPr>
          <w:color w:val="000000"/>
        </w:rPr>
        <w:fldChar w:fldCharType="begin"/>
      </w:r>
      <w:r w:rsidR="00BC298F">
        <w:rPr>
          <w:color w:val="000000"/>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Pr>
          <w:color w:val="000000"/>
        </w:rPr>
        <w:fldChar w:fldCharType="separate"/>
      </w:r>
      <w:r w:rsidR="00E9071B">
        <w:rPr>
          <w:noProof/>
          <w:color w:val="000000"/>
        </w:rPr>
        <w:t>[15]</w:t>
      </w:r>
      <w:r>
        <w:rPr>
          <w:color w:val="000000"/>
        </w:rPr>
        <w:fldChar w:fldCharType="end"/>
      </w:r>
      <w:r>
        <w:rPr>
          <w:color w:val="000000"/>
        </w:rPr>
        <w:t xml:space="preserve"> illustrated in Fig</w:t>
      </w:r>
      <w:r w:rsidR="00BC1176">
        <w:rPr>
          <w:color w:val="000000"/>
        </w:rPr>
        <w:t>.</w:t>
      </w:r>
      <w:r w:rsidR="00FF29B0">
        <w:rPr>
          <w:color w:val="000000"/>
        </w:rPr>
        <w:t xml:space="preserve"> 2</w:t>
      </w:r>
      <w:r w:rsidR="000C44A1">
        <w:rPr>
          <w:color w:val="000000"/>
        </w:rPr>
        <w:t xml:space="preserve">d </w:t>
      </w:r>
      <w:r>
        <w:rPr>
          <w:color w:val="000000"/>
        </w:rPr>
        <w:t xml:space="preserve">can show </w:t>
      </w:r>
      <w:r w:rsidR="008500EF">
        <w:rPr>
          <w:color w:val="000000"/>
        </w:rPr>
        <w:t xml:space="preserve">a </w:t>
      </w:r>
      <w:r>
        <w:rPr>
          <w:color w:val="000000"/>
        </w:rPr>
        <w:t xml:space="preserve">high level of clean sources in </w:t>
      </w:r>
      <w:r w:rsidR="00DC1277">
        <w:rPr>
          <w:color w:val="000000"/>
        </w:rPr>
        <w:t xml:space="preserve">daylight </w:t>
      </w:r>
      <w:r>
        <w:rPr>
          <w:color w:val="000000"/>
        </w:rPr>
        <w:t xml:space="preserve">hours in </w:t>
      </w:r>
      <w:r w:rsidR="00BC1176">
        <w:rPr>
          <w:color w:val="000000"/>
        </w:rPr>
        <w:t>California</w:t>
      </w:r>
      <w:r>
        <w:rPr>
          <w:color w:val="000000"/>
        </w:rPr>
        <w:t xml:space="preserve">. </w:t>
      </w:r>
      <w:r w:rsidR="000C44A1">
        <w:rPr>
          <w:rFonts w:eastAsia="MS Mincho"/>
          <w:color w:val="000000"/>
        </w:rPr>
        <w:t xml:space="preserve">That is to say, the projected green pattern in Colorado 2030 already can be seen in California with about 70% of renewables </w:t>
      </w:r>
      <w:r w:rsidR="005C1B12">
        <w:rPr>
          <w:rFonts w:eastAsia="MS Mincho"/>
          <w:color w:val="000000"/>
        </w:rPr>
        <w:t>in noon hours</w:t>
      </w:r>
      <w:r w:rsidR="000C44A1">
        <w:rPr>
          <w:rFonts w:eastAsia="MS Mincho"/>
          <w:color w:val="000000"/>
        </w:rPr>
        <w:t xml:space="preserve"> for the average results </w:t>
      </w:r>
      <w:r w:rsidR="008500EF">
        <w:rPr>
          <w:rFonts w:eastAsia="MS Mincho"/>
          <w:color w:val="000000"/>
        </w:rPr>
        <w:t>for</w:t>
      </w:r>
      <w:r w:rsidR="000C44A1">
        <w:rPr>
          <w:rFonts w:eastAsia="MS Mincho"/>
          <w:color w:val="000000"/>
        </w:rPr>
        <w:t xml:space="preserve"> 2022.</w:t>
      </w:r>
      <w:r w:rsidR="001D0DCE">
        <w:rPr>
          <w:rFonts w:eastAsia="MS Mincho"/>
          <w:color w:val="000000"/>
        </w:rPr>
        <w:t xml:space="preserve"> </w:t>
      </w:r>
    </w:p>
    <w:p w14:paraId="141E32CC" w14:textId="6506DD20" w:rsidR="000421EC" w:rsidRDefault="008500EF" w:rsidP="00624E96">
      <w:pPr>
        <w:pStyle w:val="BodyText"/>
        <w:rPr>
          <w:color w:val="000000"/>
        </w:rPr>
      </w:pPr>
      <w:r>
        <w:rPr>
          <w:color w:val="000000"/>
        </w:rPr>
        <w:t xml:space="preserve">While Fig. 2 highlights </w:t>
      </w:r>
      <w:r w:rsidR="00F067D6">
        <w:rPr>
          <w:color w:val="000000"/>
        </w:rPr>
        <w:t>how</w:t>
      </w:r>
      <w:r>
        <w:rPr>
          <w:color w:val="000000"/>
        </w:rPr>
        <w:t xml:space="preserve"> electricity generation during the day will be cleaner than electricity generation </w:t>
      </w:r>
      <w:r w:rsidR="00A24C51">
        <w:rPr>
          <w:color w:val="000000"/>
        </w:rPr>
        <w:t>at night, an important question is how the cleanliness of the generation will relate to cost profiles. To assess the relationship between cost and cleanliness</w:t>
      </w:r>
      <w:r w:rsidR="000421EC">
        <w:rPr>
          <w:color w:val="000000"/>
        </w:rPr>
        <w:t xml:space="preserve">, </w:t>
      </w:r>
      <w:r w:rsidR="00A24C51">
        <w:rPr>
          <w:color w:val="000000"/>
        </w:rPr>
        <w:t xml:space="preserve">we </w:t>
      </w:r>
      <w:r w:rsidR="00F832C4">
        <w:rPr>
          <w:color w:val="000000"/>
        </w:rPr>
        <w:t>compar</w:t>
      </w:r>
      <w:r w:rsidR="00A24C51">
        <w:rPr>
          <w:color w:val="000000"/>
        </w:rPr>
        <w:t>e</w:t>
      </w:r>
      <w:r w:rsidR="000421EC">
        <w:rPr>
          <w:color w:val="000000"/>
        </w:rPr>
        <w:t xml:space="preserve"> the cost of electricity in </w:t>
      </w:r>
      <w:r w:rsidR="00724007">
        <w:rPr>
          <w:color w:val="000000"/>
        </w:rPr>
        <w:t>California</w:t>
      </w:r>
      <w:r w:rsidR="00A24C51">
        <w:rPr>
          <w:color w:val="000000"/>
        </w:rPr>
        <w:t xml:space="preserve"> (Fig. 3a)</w:t>
      </w:r>
      <w:r w:rsidR="000421EC">
        <w:rPr>
          <w:color w:val="000000"/>
        </w:rPr>
        <w:t xml:space="preserve"> </w:t>
      </w:r>
      <w:r w:rsidR="00F832C4">
        <w:rPr>
          <w:color w:val="000000"/>
        </w:rPr>
        <w:t xml:space="preserve">with the seasonal fossil intensity of electricity </w:t>
      </w:r>
      <w:r w:rsidR="00A24C51">
        <w:rPr>
          <w:color w:val="000000"/>
        </w:rPr>
        <w:t>(</w:t>
      </w:r>
      <w:r w:rsidR="00F832C4">
        <w:rPr>
          <w:color w:val="000000"/>
        </w:rPr>
        <w:t>Fig</w:t>
      </w:r>
      <w:r w:rsidR="00A24C51">
        <w:rPr>
          <w:color w:val="000000"/>
        </w:rPr>
        <w:t>.</w:t>
      </w:r>
      <w:r w:rsidR="00F832C4">
        <w:rPr>
          <w:color w:val="000000"/>
        </w:rPr>
        <w:t xml:space="preserve"> 3</w:t>
      </w:r>
      <w:r w:rsidR="00A24C51">
        <w:rPr>
          <w:color w:val="000000"/>
        </w:rPr>
        <w:t>b).</w:t>
      </w:r>
      <w:r w:rsidR="00F832C4">
        <w:rPr>
          <w:color w:val="000000"/>
        </w:rPr>
        <w:t xml:space="preserve"> </w:t>
      </w:r>
      <w:r w:rsidR="00A5578D">
        <w:rPr>
          <w:color w:val="000000"/>
        </w:rPr>
        <w:t>Both</w:t>
      </w:r>
      <w:r w:rsidR="00A24C51">
        <w:rPr>
          <w:color w:val="000000"/>
        </w:rPr>
        <w:t xml:space="preserve"> graphs </w:t>
      </w:r>
      <w:r w:rsidR="00A5578D">
        <w:rPr>
          <w:color w:val="000000"/>
        </w:rPr>
        <w:t>show lower values during the middle of the day, showing strikingly similar general trends</w:t>
      </w:r>
      <w:r w:rsidR="00A215B5">
        <w:rPr>
          <w:color w:val="000000"/>
        </w:rPr>
        <w:t xml:space="preserve"> when inspected both for the diurnal and seasonal patterns</w:t>
      </w:r>
      <w:r w:rsidR="00A24C51">
        <w:rPr>
          <w:color w:val="000000"/>
        </w:rPr>
        <w:t xml:space="preserve">. </w:t>
      </w:r>
      <w:r w:rsidR="009E5365">
        <w:rPr>
          <w:color w:val="000000"/>
        </w:rPr>
        <w:t>Thus, l</w:t>
      </w:r>
      <w:r w:rsidR="000421EC">
        <w:rPr>
          <w:color w:val="000000"/>
        </w:rPr>
        <w:t xml:space="preserve">ower </w:t>
      </w:r>
      <w:r w:rsidR="00A24C51">
        <w:rPr>
          <w:color w:val="000000"/>
        </w:rPr>
        <w:t>prices</w:t>
      </w:r>
      <w:r w:rsidR="000421EC">
        <w:rPr>
          <w:color w:val="000000"/>
        </w:rPr>
        <w:t xml:space="preserve"> in </w:t>
      </w:r>
      <w:r w:rsidR="00DC1277">
        <w:rPr>
          <w:color w:val="000000"/>
        </w:rPr>
        <w:t>daylight hours</w:t>
      </w:r>
      <w:r w:rsidR="000421EC">
        <w:rPr>
          <w:color w:val="000000"/>
        </w:rPr>
        <w:t xml:space="preserve"> </w:t>
      </w:r>
      <w:r w:rsidR="00A24C51">
        <w:rPr>
          <w:color w:val="000000"/>
        </w:rPr>
        <w:t xml:space="preserve">correlate </w:t>
      </w:r>
      <w:r w:rsidR="000421EC">
        <w:rPr>
          <w:color w:val="000000"/>
        </w:rPr>
        <w:t xml:space="preserve">with </w:t>
      </w:r>
      <w:r w:rsidR="00A24C51">
        <w:rPr>
          <w:color w:val="000000"/>
        </w:rPr>
        <w:t xml:space="preserve">the higher </w:t>
      </w:r>
      <w:proofErr w:type="gramStart"/>
      <w:r w:rsidR="000421EC">
        <w:rPr>
          <w:color w:val="000000"/>
        </w:rPr>
        <w:t>renewables</w:t>
      </w:r>
      <w:proofErr w:type="gramEnd"/>
      <w:r w:rsidR="000421EC">
        <w:rPr>
          <w:color w:val="000000"/>
        </w:rPr>
        <w:t xml:space="preserve"> </w:t>
      </w:r>
      <w:r w:rsidR="00A24C51">
        <w:rPr>
          <w:color w:val="000000"/>
        </w:rPr>
        <w:t>generation in those same</w:t>
      </w:r>
      <w:r w:rsidR="000421EC">
        <w:rPr>
          <w:color w:val="000000"/>
        </w:rPr>
        <w:t xml:space="preserve"> hours. </w:t>
      </w:r>
      <w:r w:rsidR="00A24C51">
        <w:rPr>
          <w:color w:val="000000"/>
        </w:rPr>
        <w:t>D</w:t>
      </w:r>
      <w:r w:rsidR="000421EC">
        <w:rPr>
          <w:color w:val="000000"/>
        </w:rPr>
        <w:t>ay-ahead data for the price of electricity from CA</w:t>
      </w:r>
      <w:r w:rsidR="004916F8">
        <w:rPr>
          <w:color w:val="000000"/>
        </w:rPr>
        <w:t>ISO</w:t>
      </w:r>
      <w:r w:rsidR="000421EC">
        <w:rPr>
          <w:color w:val="000000"/>
        </w:rPr>
        <w:t xml:space="preserve"> </w:t>
      </w:r>
      <w:r w:rsidR="00F832C4">
        <w:rPr>
          <w:color w:val="000000"/>
        </w:rPr>
        <w:t>(Fig. 3a), and EIA data for electricity generation</w:t>
      </w:r>
      <w:r w:rsidR="000F347D">
        <w:rPr>
          <w:color w:val="000000"/>
        </w:rPr>
        <w:t xml:space="preserve"> (Fig.</w:t>
      </w:r>
      <w:r w:rsidR="00F067D6">
        <w:rPr>
          <w:color w:val="000000"/>
        </w:rPr>
        <w:t xml:space="preserve"> </w:t>
      </w:r>
      <w:r w:rsidR="000F347D">
        <w:rPr>
          <w:color w:val="000000"/>
        </w:rPr>
        <w:t>3b)</w:t>
      </w:r>
      <w:r w:rsidR="000421EC">
        <w:rPr>
          <w:color w:val="000000"/>
        </w:rPr>
        <w:t xml:space="preserve"> </w:t>
      </w:r>
      <w:r w:rsidR="00F832C4">
        <w:rPr>
          <w:color w:val="000000"/>
        </w:rPr>
        <w:t>are</w:t>
      </w:r>
      <w:r w:rsidR="000421EC">
        <w:rPr>
          <w:color w:val="000000"/>
        </w:rPr>
        <w:t xml:space="preserve"> used </w:t>
      </w:r>
      <w:r w:rsidR="000F347D">
        <w:rPr>
          <w:color w:val="000000"/>
        </w:rPr>
        <w:fldChar w:fldCharType="begin"/>
      </w:r>
      <w:r w:rsidR="00624E96">
        <w:rPr>
          <w:color w:val="000000"/>
        </w:rPr>
        <w:instrText xml:space="preserve"> ADDIN EN.CITE &lt;EndNote&gt;&lt;Cite&gt;&lt;RecNum&gt;28&lt;/RecNum&gt;&lt;DisplayText&gt;[15, 18]&lt;/DisplayText&gt;&lt;record&gt;&lt;rec-number&gt;28&lt;/rec-number&gt;&lt;foreign-keys&gt;&lt;key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&lt;/url&gt;&lt;/related-urls&gt;&lt;/urls&gt;&lt;/record&gt;&lt;/Cite&gt;&lt;Cite&gt;&lt;Author&gt;California Independent System Operator (CAISO)&lt;/Author&gt;&lt;RecNum&gt;27&lt;/RecNum&gt;&lt;record&gt;&lt;rec-number&gt;27&lt;/rec-number&gt;&lt;foreign-keys&gt;&lt;key app="EN" db-id="0t5529r5t9fw5eeevs6pvsf7zetpxrvxx2we" timestamp="1682960621"&gt;27&lt;/key&gt;&lt;/foreign-keys&gt;&lt;ref-type name="Web Page"&gt;12&lt;/ref-type&gt;&lt;contributors&gt;&lt;authors&gt;&lt;author&gt;California Independent System Operator (CAISO),&lt;/author&gt;&lt;/authors&gt;&lt;/contributors&gt;&lt;titles&gt;&lt;title&gt;LCG Consulting “Energyonline” website, CAISO Day-Ahead Pricing&lt;/title&gt;&lt;/titles&gt;&lt;volume&gt;2023&lt;/volume&gt;&lt;number&gt;April 10&lt;/number&gt;&lt;dates&gt;&lt;/dates&gt;&lt;urls&gt;&lt;related-urls&gt;&lt;url&gt;http://www.energyonline.com/Data/GenericData.aspx?DataId=22&amp;amp;CAISO___Day-Ahead_Price&lt;/url&gt;&lt;/related-urls&gt;&lt;/urls&gt;&lt;/record&gt;&lt;/Cite&gt;&lt;/EndNote&gt;</w:instrText>
      </w:r>
      <w:r w:rsidR="000F347D">
        <w:rPr>
          <w:color w:val="000000"/>
        </w:rPr>
        <w:fldChar w:fldCharType="separate"/>
      </w:r>
      <w:r w:rsidR="00624E96">
        <w:rPr>
          <w:noProof/>
          <w:color w:val="000000"/>
        </w:rPr>
        <w:t>[15, 18]</w:t>
      </w:r>
      <w:r w:rsidR="000F347D">
        <w:rPr>
          <w:color w:val="000000"/>
        </w:rPr>
        <w:fldChar w:fldCharType="end"/>
      </w:r>
      <w:r w:rsidR="000421EC">
        <w:rPr>
          <w:color w:val="000000"/>
        </w:rPr>
        <w:t>.</w:t>
      </w:r>
      <w:r w:rsidR="00D06823">
        <w:rPr>
          <w:color w:val="000000"/>
        </w:rPr>
        <w:t xml:space="preserve"> </w:t>
      </w:r>
      <w:r w:rsidR="00724007">
        <w:rPr>
          <w:color w:val="000000"/>
        </w:rPr>
        <w:t>A</w:t>
      </w:r>
      <w:r w:rsidR="00D06823">
        <w:rPr>
          <w:color w:val="000000"/>
        </w:rPr>
        <w:t xml:space="preserve">lthough the </w:t>
      </w:r>
      <w:r w:rsidR="00F57541">
        <w:rPr>
          <w:color w:val="000000"/>
        </w:rPr>
        <w:t xml:space="preserve">electricity </w:t>
      </w:r>
      <w:r w:rsidR="00D06823">
        <w:rPr>
          <w:color w:val="000000"/>
        </w:rPr>
        <w:t>price</w:t>
      </w:r>
      <w:r w:rsidR="00F57541">
        <w:rPr>
          <w:color w:val="000000"/>
        </w:rPr>
        <w:t>s</w:t>
      </w:r>
      <w:r w:rsidR="00D06823">
        <w:rPr>
          <w:color w:val="000000"/>
        </w:rPr>
        <w:t xml:space="preserve"> </w:t>
      </w:r>
      <w:r w:rsidR="00F57541">
        <w:rPr>
          <w:color w:val="000000"/>
        </w:rPr>
        <w:t>often don’t correlate with</w:t>
      </w:r>
      <w:r w:rsidR="00D06823">
        <w:rPr>
          <w:color w:val="000000"/>
        </w:rPr>
        <w:t xml:space="preserve"> C</w:t>
      </w:r>
      <w:r w:rsidR="00A24C51">
        <w:rPr>
          <w:color w:val="000000"/>
        </w:rPr>
        <w:t>O</w:t>
      </w:r>
      <w:r w:rsidR="00D06823">
        <w:rPr>
          <w:color w:val="000000"/>
          <w:vertAlign w:val="subscript"/>
        </w:rPr>
        <w:t xml:space="preserve">2 </w:t>
      </w:r>
      <w:r w:rsidR="00D06823">
        <w:rPr>
          <w:color w:val="000000"/>
        </w:rPr>
        <w:t>emissions, Fig</w:t>
      </w:r>
      <w:r w:rsidR="00A24C51">
        <w:rPr>
          <w:color w:val="000000"/>
        </w:rPr>
        <w:t>.</w:t>
      </w:r>
      <w:r w:rsidR="00D06823">
        <w:rPr>
          <w:color w:val="000000"/>
        </w:rPr>
        <w:t xml:space="preserve"> 3 show</w:t>
      </w:r>
      <w:r w:rsidR="00A24C51">
        <w:rPr>
          <w:color w:val="000000"/>
        </w:rPr>
        <w:t>s</w:t>
      </w:r>
      <w:r w:rsidR="00D06823">
        <w:rPr>
          <w:color w:val="000000"/>
        </w:rPr>
        <w:t xml:space="preserve"> the </w:t>
      </w:r>
      <w:r w:rsidR="00A24C51">
        <w:rPr>
          <w:color w:val="000000"/>
        </w:rPr>
        <w:t>anti-</w:t>
      </w:r>
      <w:r w:rsidR="00D06823">
        <w:rPr>
          <w:color w:val="000000"/>
        </w:rPr>
        <w:t>correlation between</w:t>
      </w:r>
      <w:r w:rsidR="00A24C51">
        <w:rPr>
          <w:color w:val="000000"/>
        </w:rPr>
        <w:t xml:space="preserve"> the average</w:t>
      </w:r>
      <w:r w:rsidR="00D06823">
        <w:rPr>
          <w:color w:val="000000"/>
        </w:rPr>
        <w:t xml:space="preserve"> price and the </w:t>
      </w:r>
      <w:r w:rsidR="00A24C51">
        <w:rPr>
          <w:color w:val="000000"/>
        </w:rPr>
        <w:t xml:space="preserve">average </w:t>
      </w:r>
      <w:r w:rsidR="00FD23E9">
        <w:rPr>
          <w:color w:val="000000"/>
        </w:rPr>
        <w:t xml:space="preserve">emissions </w:t>
      </w:r>
      <w:r w:rsidR="00F57541">
        <w:rPr>
          <w:color w:val="000000"/>
        </w:rPr>
        <w:t xml:space="preserve">in </w:t>
      </w:r>
      <w:r w:rsidR="00D06823">
        <w:rPr>
          <w:color w:val="000000"/>
        </w:rPr>
        <w:t xml:space="preserve">electricity systems </w:t>
      </w:r>
      <w:r w:rsidR="00F57541">
        <w:rPr>
          <w:color w:val="000000"/>
        </w:rPr>
        <w:t>with high penetration of PV resources</w:t>
      </w:r>
      <w:r w:rsidR="00A24C51">
        <w:rPr>
          <w:color w:val="000000"/>
        </w:rPr>
        <w:t xml:space="preserve">. </w:t>
      </w:r>
      <w:r w:rsidR="00A24C51" w:rsidRPr="00A24C51">
        <w:rPr>
          <w:color w:val="000000"/>
        </w:rPr>
        <w:t xml:space="preserve">Similar trends are seen for all seasons in California for the 2022 year in both price and fossil fuels intensity cases. </w:t>
      </w:r>
    </w:p>
    <w:p w14:paraId="658F798C" w14:textId="215EBFBE" w:rsidR="00953E3A" w:rsidRPr="00CE18C1" w:rsidRDefault="00DD0288" w:rsidP="001717CE">
      <w:pPr>
        <w:tabs>
          <w:tab w:val="left" w:pos="223"/>
        </w:tabs>
        <w:spacing w:after="0" w:line="240" w:lineRule="auto"/>
        <w:ind w:firstLine="0"/>
      </w:pPr>
      <w:r w:rsidRPr="00DD0288">
        <w:lastRenderedPageBreak/>
        <w:drawing>
          <wp:inline distT="0" distB="0" distL="0" distR="0" wp14:anchorId="4AEEA946" wp14:editId="57816EEF">
            <wp:extent cx="6385810" cy="5009461"/>
            <wp:effectExtent l="0" t="0" r="2540" b="0"/>
            <wp:docPr id="117239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96123" name=""/>
                    <pic:cNvPicPr/>
                  </pic:nvPicPr>
                  <pic:blipFill>
                    <a:blip r:embed="rId12"/>
                    <a:stretch>
                      <a:fillRect/>
                    </a:stretch>
                  </pic:blipFill>
                  <pic:spPr>
                    <a:xfrm>
                      <a:off x="0" y="0"/>
                      <a:ext cx="6391307" cy="5013774"/>
                    </a:xfrm>
                    <a:prstGeom prst="rect">
                      <a:avLst/>
                    </a:prstGeom>
                  </pic:spPr>
                </pic:pic>
              </a:graphicData>
            </a:graphic>
          </wp:inline>
        </w:drawing>
      </w:r>
    </w:p>
    <w:p w14:paraId="4C36EDF7" w14:textId="535DF85B" w:rsidR="002A72F0" w:rsidRDefault="002A72F0" w:rsidP="00A90E5B">
      <w:pPr>
        <w:pStyle w:val="Subtitle"/>
        <w:rPr>
          <w:noProof/>
        </w:rPr>
      </w:pPr>
      <w:r w:rsidRPr="00B17B9B">
        <w:rPr>
          <w:noProof/>
        </w:rPr>
        <w:t>Percent fossil-fuel generated electricity for 8760 hours per year</w:t>
      </w:r>
      <w:r>
        <w:rPr>
          <w:noProof/>
        </w:rPr>
        <w:t xml:space="preserve"> and annual average percent f</w:t>
      </w:r>
      <w:r w:rsidR="00FF29B0">
        <w:rPr>
          <w:noProof/>
        </w:rPr>
        <w:t>ossil fuel</w:t>
      </w:r>
      <w:r w:rsidR="007E714C">
        <w:rPr>
          <w:noProof/>
        </w:rPr>
        <w:t xml:space="preserve"> for each hour</w:t>
      </w:r>
      <w:r w:rsidR="00E0196D">
        <w:rPr>
          <w:noProof/>
        </w:rPr>
        <w:t xml:space="preserve"> </w:t>
      </w:r>
      <w:r w:rsidR="00FF29B0" w:rsidRPr="00E0196D">
        <w:rPr>
          <w:noProof/>
        </w:rPr>
        <w:t>based on the EIA data</w:t>
      </w:r>
      <w:r w:rsidR="00FF29B0">
        <w:rPr>
          <w:noProof/>
        </w:rPr>
        <w:t xml:space="preserve"> for</w:t>
      </w:r>
      <w:r w:rsidR="00DE65F5">
        <w:rPr>
          <w:noProof/>
        </w:rPr>
        <w:t xml:space="preserve"> (a)</w:t>
      </w:r>
      <w:r w:rsidR="00036AAD">
        <w:rPr>
          <w:noProof/>
        </w:rPr>
        <w:t xml:space="preserve"> Colorado for</w:t>
      </w:r>
      <w:r w:rsidR="00FF29B0">
        <w:rPr>
          <w:noProof/>
        </w:rPr>
        <w:t xml:space="preserve"> </w:t>
      </w:r>
      <w:r w:rsidR="00E0196D">
        <w:rPr>
          <w:noProof/>
        </w:rPr>
        <w:t>the year 2019</w:t>
      </w:r>
      <w:r w:rsidR="007E714C">
        <w:rPr>
          <w:noProof/>
        </w:rPr>
        <w:t xml:space="preserve"> </w:t>
      </w:r>
      <w:r w:rsidR="004370BE">
        <w:rPr>
          <w:noProof/>
        </w:rPr>
        <w:fldChar w:fldCharType="begin"/>
      </w:r>
      <w:r w:rsidR="00BC298F">
        <w:rPr>
          <w:noProof/>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sidR="004370BE">
        <w:rPr>
          <w:noProof/>
        </w:rPr>
        <w:fldChar w:fldCharType="separate"/>
      </w:r>
      <w:r w:rsidR="00E9071B">
        <w:rPr>
          <w:noProof/>
        </w:rPr>
        <w:t>[15]</w:t>
      </w:r>
      <w:r w:rsidR="004370BE">
        <w:rPr>
          <w:noProof/>
        </w:rPr>
        <w:fldChar w:fldCharType="end"/>
      </w:r>
      <w:r>
        <w:rPr>
          <w:noProof/>
        </w:rPr>
        <w:t>,</w:t>
      </w:r>
      <w:r w:rsidR="00F832C4">
        <w:rPr>
          <w:noProof/>
        </w:rPr>
        <w:t xml:space="preserve"> </w:t>
      </w:r>
      <w:r w:rsidR="00DE65F5">
        <w:rPr>
          <w:noProof/>
        </w:rPr>
        <w:t xml:space="preserve">(b) </w:t>
      </w:r>
      <w:r w:rsidRPr="00E0196D">
        <w:rPr>
          <w:noProof/>
        </w:rPr>
        <w:t>the projection for 2023</w:t>
      </w:r>
      <w:r w:rsidR="007E714C">
        <w:rPr>
          <w:noProof/>
        </w:rPr>
        <w:t xml:space="preserve"> </w:t>
      </w:r>
      <w:r w:rsidR="004370BE">
        <w:rPr>
          <w:rFonts w:eastAsia="MS Mincho"/>
        </w:rPr>
        <w:fldChar w:fldCharType="begin"/>
      </w:r>
      <w:r w:rsidR="00E9071B">
        <w:rPr>
          <w:rFonts w:eastAsia="MS Mincho"/>
        </w:rPr>
        <w:instrText xml:space="preserve"> ADDIN EN.CITE &lt;EndNote&gt;&lt;Cite&gt;&lt;Year&gt;March 2021&lt;/Year&gt;&lt;RecNum&gt;14&lt;/RecNum&gt;&lt;DisplayText&gt;[16]&lt;/DisplayText&gt;&lt;record&gt;&lt;rec-number&gt;14&lt;/rec-number&gt;&lt;foreign-keys&gt;&lt;key app="EN" db-id="0t5529r5t9fw5eeevs6pvsf7zetpxrvxx2we" timestamp="1682959322"&gt;14&lt;/key&gt;&lt;/foreign-keys&gt;&lt;ref-type name="Unpublished Work"&gt;34&lt;/ref-type&gt;&lt;contributors&gt;&lt;/contributors&gt;&lt;titles&gt;&lt;title&gt;Direct testimony of Alice K. Jackson, Proceeding number 21A-0141E of the Colorado Public Utilities Commission, Plan overview and appendix 2. (Unpublished)&lt;/title&gt;&lt;/titles&gt;&lt;pages&gt;47-48 and 296&lt;/pages&gt;&lt;dates&gt;&lt;year&gt;March 2021&lt;/year&gt;&lt;/dates&gt;&lt;urls&gt;&lt;/urls&gt;&lt;/record&gt;&lt;/Cite&gt;&lt;/EndNote&gt;</w:instrText>
      </w:r>
      <w:r w:rsidR="004370BE">
        <w:rPr>
          <w:rFonts w:eastAsia="MS Mincho"/>
        </w:rPr>
        <w:fldChar w:fldCharType="separate"/>
      </w:r>
      <w:r w:rsidR="00E9071B">
        <w:rPr>
          <w:rFonts w:eastAsia="MS Mincho"/>
          <w:noProof/>
        </w:rPr>
        <w:t>[16]</w:t>
      </w:r>
      <w:r w:rsidR="004370BE">
        <w:rPr>
          <w:rFonts w:eastAsia="MS Mincho"/>
        </w:rPr>
        <w:fldChar w:fldCharType="end"/>
      </w:r>
      <w:r w:rsidRPr="00E0196D">
        <w:rPr>
          <w:noProof/>
        </w:rPr>
        <w:t>,</w:t>
      </w:r>
      <w:r w:rsidR="00DE65F5">
        <w:rPr>
          <w:noProof/>
        </w:rPr>
        <w:t xml:space="preserve"> (c)</w:t>
      </w:r>
      <w:r w:rsidRPr="00E0196D">
        <w:rPr>
          <w:noProof/>
        </w:rPr>
        <w:t xml:space="preserve"> the projection for 2030</w:t>
      </w:r>
      <w:r w:rsidR="00E0196D">
        <w:rPr>
          <w:noProof/>
        </w:rPr>
        <w:t xml:space="preserve"> </w:t>
      </w:r>
      <w:r w:rsidR="004370BE">
        <w:rPr>
          <w:rFonts w:eastAsia="MS Mincho"/>
        </w:rPr>
        <w:fldChar w:fldCharType="begin"/>
      </w:r>
      <w:r w:rsidR="00E9071B">
        <w:rPr>
          <w:rFonts w:eastAsia="MS Mincho"/>
        </w:rPr>
        <w:instrText xml:space="preserve"> ADDIN EN.CITE &lt;EndNote&gt;&lt;Cite&gt;&lt;Year&gt;March 2021&lt;/Year&gt;&lt;RecNum&gt;14&lt;/RecNum&gt;&lt;DisplayText&gt;[16]&lt;/DisplayText&gt;&lt;record&gt;&lt;rec-number&gt;14&lt;/rec-number&gt;&lt;foreign-keys&gt;&lt;key app="EN" db-id="0t5529r5t9fw5eeevs6pvsf7zetpxrvxx2we" timestamp="1682959322"&gt;14&lt;/key&gt;&lt;/foreign-keys&gt;&lt;ref-type name="Unpublished Work"&gt;34&lt;/ref-type&gt;&lt;contributors&gt;&lt;/contributors&gt;&lt;titles&gt;&lt;title&gt;Direct testimony of Alice K. Jackson, Proceeding number 21A-0141E of the Colorado Public Utilities Commission, Plan overview and appendix 2. (Unpublished)&lt;/title&gt;&lt;/titles&gt;&lt;pages&gt;47-48 and 296&lt;/pages&gt;&lt;dates&gt;&lt;year&gt;March 2021&lt;/year&gt;&lt;/dates&gt;&lt;urls&gt;&lt;/urls&gt;&lt;/record&gt;&lt;/Cite&gt;&lt;/EndNote&gt;</w:instrText>
      </w:r>
      <w:r w:rsidR="004370BE">
        <w:rPr>
          <w:rFonts w:eastAsia="MS Mincho"/>
        </w:rPr>
        <w:fldChar w:fldCharType="separate"/>
      </w:r>
      <w:r w:rsidR="00E9071B">
        <w:rPr>
          <w:rFonts w:eastAsia="MS Mincho"/>
          <w:noProof/>
        </w:rPr>
        <w:t>[16]</w:t>
      </w:r>
      <w:r w:rsidR="004370BE">
        <w:rPr>
          <w:rFonts w:eastAsia="MS Mincho"/>
        </w:rPr>
        <w:fldChar w:fldCharType="end"/>
      </w:r>
      <w:r w:rsidRPr="00E0196D">
        <w:rPr>
          <w:noProof/>
        </w:rPr>
        <w:t xml:space="preserve">, </w:t>
      </w:r>
      <w:r w:rsidR="00725CFD">
        <w:rPr>
          <w:noProof/>
        </w:rPr>
        <w:t xml:space="preserve">and </w:t>
      </w:r>
      <w:r w:rsidR="00DE65F5">
        <w:rPr>
          <w:noProof/>
        </w:rPr>
        <w:t xml:space="preserve">(d) </w:t>
      </w:r>
      <w:r w:rsidR="00725CFD" w:rsidRPr="00725CFD">
        <w:rPr>
          <w:noProof/>
        </w:rPr>
        <w:t>California for the year 2022</w:t>
      </w:r>
      <w:r w:rsidR="00725CFD">
        <w:rPr>
          <w:noProof/>
        </w:rPr>
        <w:t xml:space="preserve"> </w:t>
      </w:r>
      <w:r w:rsidR="00DD6E8F">
        <w:rPr>
          <w:noProof/>
        </w:rPr>
        <w:fldChar w:fldCharType="begin"/>
      </w:r>
      <w:r w:rsidR="00BC298F">
        <w:rPr>
          <w:noProof/>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sidR="00DD6E8F">
        <w:rPr>
          <w:noProof/>
        </w:rPr>
        <w:fldChar w:fldCharType="separate"/>
      </w:r>
      <w:r w:rsidR="00E9071B">
        <w:rPr>
          <w:noProof/>
        </w:rPr>
        <w:t>[15]</w:t>
      </w:r>
      <w:r w:rsidR="00DD6E8F">
        <w:rPr>
          <w:noProof/>
        </w:rPr>
        <w:fldChar w:fldCharType="end"/>
      </w:r>
      <w:r w:rsidR="00725CFD">
        <w:rPr>
          <w:noProof/>
        </w:rPr>
        <w:t xml:space="preserve"> </w:t>
      </w:r>
    </w:p>
    <w:p w14:paraId="7253EB1A" w14:textId="5DF5A6DD" w:rsidR="009C1538" w:rsidRDefault="005A3DD3" w:rsidP="005A3DD3">
      <w:pPr>
        <w:jc w:val="center"/>
        <w:rPr>
          <w:noProof/>
        </w:rPr>
      </w:pPr>
      <w:r w:rsidRPr="005A3DD3">
        <w:rPr>
          <w:noProof/>
        </w:rPr>
        <w:drawing>
          <wp:inline distT="0" distB="0" distL="0" distR="0" wp14:anchorId="340F6572" wp14:editId="6CA31736">
            <wp:extent cx="6475730" cy="2399665"/>
            <wp:effectExtent l="0" t="0" r="1270" b="63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3"/>
                    <a:stretch>
                      <a:fillRect/>
                    </a:stretch>
                  </pic:blipFill>
                  <pic:spPr>
                    <a:xfrm>
                      <a:off x="0" y="0"/>
                      <a:ext cx="6475730" cy="2399665"/>
                    </a:xfrm>
                    <a:prstGeom prst="rect">
                      <a:avLst/>
                    </a:prstGeom>
                  </pic:spPr>
                </pic:pic>
              </a:graphicData>
            </a:graphic>
          </wp:inline>
        </w:drawing>
      </w:r>
    </w:p>
    <w:p w14:paraId="186F4480" w14:textId="01C52492" w:rsidR="00E1320C" w:rsidRPr="007256D1" w:rsidRDefault="007E714C" w:rsidP="00A90E5B">
      <w:pPr>
        <w:pStyle w:val="Subtitle"/>
      </w:pPr>
      <w:r>
        <w:t>Seasonal average</w:t>
      </w:r>
      <w:r w:rsidR="00036AAD">
        <w:t xml:space="preserve"> of a)</w:t>
      </w:r>
      <w:r>
        <w:t xml:space="preserve"> d</w:t>
      </w:r>
      <w:r w:rsidR="007256D1" w:rsidRPr="007256D1">
        <w:t xml:space="preserve">ay-ahead price of electricity </w:t>
      </w:r>
      <w:r w:rsidR="00F832C4" w:rsidRPr="00F070E6">
        <w:fldChar w:fldCharType="begin"/>
      </w:r>
      <w:r w:rsidR="00624E96">
        <w:instrText xml:space="preserve"> ADDIN EN.CITE &lt;EndNote&gt;&lt;Cite&gt;&lt;Author&gt;California Independent System Operator (CAISO)&lt;/Author&gt;&lt;RecNum&gt;27&lt;/RecNum&gt;&lt;DisplayText&gt;[18]&lt;/DisplayText&gt;&lt;record&gt;&lt;rec-number&gt;27&lt;/rec-number&gt;&lt;foreign-keys&gt;&lt;key app="EN" db-id="0t5529r5t9fw5eeevs6pvsf7zetpxrvxx2we" timestamp="1682960621"&gt;27&lt;/key&gt;&lt;/foreign-keys&gt;&lt;ref-type name="Web Page"&gt;12&lt;/ref-type&gt;&lt;contributors&gt;&lt;authors&gt;&lt;author&gt;California Independent System Operator (CAISO),&lt;/author&gt;&lt;/authors&gt;&lt;/contributors&gt;&lt;titles&gt;&lt;title&gt;LCG Consulting “Energyonline” website, CAISO Day-Ahead Pricing&lt;/title&gt;&lt;/titles&gt;&lt;volume&gt;2023&lt;/volume&gt;&lt;number&gt;April 10&lt;/number&gt;&lt;dates&gt;&lt;/dates&gt;&lt;urls&gt;&lt;related-urls&gt;&lt;url&gt;http://www.energyonline.com/Data/GenericData.aspx?DataId=22&amp;amp;CAISO___Day-Ahead_Price&lt;/url&gt;&lt;/related-urls&gt;&lt;/urls&gt;&lt;/record&gt;&lt;/Cite&gt;&lt;/EndNote&gt;</w:instrText>
      </w:r>
      <w:r w:rsidR="00F832C4" w:rsidRPr="00F070E6">
        <w:fldChar w:fldCharType="separate"/>
      </w:r>
      <w:r w:rsidR="00624E96">
        <w:rPr>
          <w:noProof/>
        </w:rPr>
        <w:t>[18]</w:t>
      </w:r>
      <w:r w:rsidR="00F832C4" w:rsidRPr="00F070E6">
        <w:fldChar w:fldCharType="end"/>
      </w:r>
      <w:r w:rsidR="0058606E">
        <w:t xml:space="preserve"> </w:t>
      </w:r>
      <w:r w:rsidR="00F832C4">
        <w:t>and</w:t>
      </w:r>
      <w:r w:rsidR="00036AAD">
        <w:t xml:space="preserve"> b)</w:t>
      </w:r>
      <w:r w:rsidR="00F832C4">
        <w:t xml:space="preserve"> the fossil fuel intensity of electricity </w:t>
      </w:r>
      <w:r w:rsidR="00F832C4">
        <w:rPr>
          <w:noProof/>
        </w:rPr>
        <w:fldChar w:fldCharType="begin"/>
      </w:r>
      <w:r w:rsidR="00BC298F">
        <w:rPr>
          <w:noProof/>
        </w:rPr>
        <w:instrText xml:space="preserve"> ADDIN EN.CITE &lt;EndNote&gt;&lt;Cite&gt;&lt;RecNum&gt;28&lt;/RecNum&gt;&lt;DisplayText&gt;[15]&lt;/DisplayText&gt;&lt;record&gt;&lt;rec-number&gt;28&lt;/rec-number&gt;&lt;foreign-keys&gt;&lt;key app="EN" db-id="0t5529r5t9fw5eeevs6pvsf7zetpxrvxx2we" timestamp="1682960809"&gt;28&lt;/key&gt;&lt;/foreign-keys&gt;&lt;ref-type name="Web Page"&gt;12&lt;/ref-type&gt;&lt;contributors&gt;&lt;authors&gt;&lt;author&gt;U.S. Energy Information Administration (EIA),&lt;/author&gt;&lt;/authors&gt;&lt;/contributors&gt;&lt;titles&gt;&lt;title&gt;Hourly Electric Grid Monitor&lt;/title&gt;&lt;/titles&gt;&lt;volume&gt;2023&lt;/volume&gt;&lt;number&gt;May 14&lt;/number&gt;&lt;dates&gt;&lt;/dates&gt;&lt;urls&gt;&lt;related-urls&gt;&lt;url&gt;https://www.eia.gov/beta/electricity/gridmonitor/dashboard/electric_overview/US48/US48  &lt;/url&gt;&lt;/related-urls&gt;&lt;/urls&gt;&lt;/record&gt;&lt;/Cite&gt;&lt;/EndNote&gt;</w:instrText>
      </w:r>
      <w:r w:rsidR="00F832C4">
        <w:rPr>
          <w:noProof/>
        </w:rPr>
        <w:fldChar w:fldCharType="separate"/>
      </w:r>
      <w:r w:rsidR="00E9071B">
        <w:rPr>
          <w:noProof/>
        </w:rPr>
        <w:t>[15]</w:t>
      </w:r>
      <w:r w:rsidR="00F832C4">
        <w:rPr>
          <w:noProof/>
        </w:rPr>
        <w:fldChar w:fldCharType="end"/>
      </w:r>
      <w:r w:rsidR="009A4B7C" w:rsidRPr="009A4B7C">
        <w:t xml:space="preserve"> </w:t>
      </w:r>
      <w:r w:rsidR="00036AAD">
        <w:t>for</w:t>
      </w:r>
      <w:r w:rsidR="009A4B7C" w:rsidRPr="007256D1">
        <w:t xml:space="preserve"> California in </w:t>
      </w:r>
      <w:r w:rsidR="009A4B7C" w:rsidRPr="00F070E6">
        <w:t>2022</w:t>
      </w:r>
      <w:r w:rsidR="0017346A">
        <w:t>.</w:t>
      </w:r>
    </w:p>
    <w:p w14:paraId="7FA3A64E" w14:textId="7802E35F" w:rsidR="002C6FFF" w:rsidRPr="009E5365" w:rsidRDefault="004C302F" w:rsidP="00197F85">
      <w:pPr>
        <w:pStyle w:val="Heading2"/>
      </w:pPr>
      <w:r>
        <w:lastRenderedPageBreak/>
        <w:t>Demand</w:t>
      </w:r>
      <w:r w:rsidR="00F067D6">
        <w:t>-</w:t>
      </w:r>
      <w:r>
        <w:t xml:space="preserve">management </w:t>
      </w:r>
      <w:r w:rsidR="00592151">
        <w:t>design often lags</w:t>
      </w:r>
    </w:p>
    <w:p w14:paraId="44300D4D" w14:textId="2CBE36B1" w:rsidR="00F30FD8" w:rsidRDefault="00B86BB9" w:rsidP="00A40745">
      <w:pPr>
        <w:pStyle w:val="BodyText"/>
        <w:ind w:firstLine="0"/>
      </w:pPr>
      <w:bookmarkStart w:id="0" w:name="_Hlk118300461"/>
      <w:r>
        <w:t xml:space="preserve">    </w:t>
      </w:r>
      <w:r w:rsidR="002C6FFF">
        <w:t xml:space="preserve">A discussion of the evolution of demand management for </w:t>
      </w:r>
      <w:proofErr w:type="spellStart"/>
      <w:r w:rsidR="004C302F">
        <w:t>PSCo</w:t>
      </w:r>
      <w:proofErr w:type="spellEnd"/>
      <w:r w:rsidR="002C6FFF">
        <w:t xml:space="preserve"> during this same period is equally interesting in the details for different reasons.  The primary tools</w:t>
      </w:r>
      <w:r w:rsidR="00CB7215">
        <w:t xml:space="preserve"> currently used</w:t>
      </w:r>
      <w:r w:rsidR="002C6FFF">
        <w:t xml:space="preserve"> </w:t>
      </w:r>
      <w:r w:rsidR="00F067D6">
        <w:t>for</w:t>
      </w:r>
      <w:r w:rsidR="002C6FFF">
        <w:t xml:space="preserve"> demand</w:t>
      </w:r>
      <w:r w:rsidR="00F067D6">
        <w:t xml:space="preserve"> </w:t>
      </w:r>
      <w:r w:rsidR="002C6FFF">
        <w:t xml:space="preserve">management </w:t>
      </w:r>
      <w:r w:rsidR="00F067D6">
        <w:t>include</w:t>
      </w:r>
      <w:r w:rsidR="002C6FFF">
        <w:t xml:space="preserve"> programs to shed load during the demand peaks (especially summer air conditioning peaks) and </w:t>
      </w:r>
      <w:r w:rsidR="00044AD0">
        <w:t>time</w:t>
      </w:r>
      <w:r w:rsidR="004C302F">
        <w:t>-</w:t>
      </w:r>
      <w:r w:rsidR="002C6FFF">
        <w:t>of</w:t>
      </w:r>
      <w:r w:rsidR="004C302F">
        <w:t>-</w:t>
      </w:r>
      <w:r w:rsidR="00044AD0">
        <w:t>use</w:t>
      </w:r>
      <w:r w:rsidR="002C6FFF">
        <w:t xml:space="preserve">, TOU, rates designed to discourage power use during these </w:t>
      </w:r>
      <w:r w:rsidR="0017250A">
        <w:t xml:space="preserve">summer </w:t>
      </w:r>
      <w:r w:rsidR="002C6FFF">
        <w:t xml:space="preserve">demand peaks.  </w:t>
      </w:r>
      <w:proofErr w:type="gramStart"/>
      <w:r w:rsidR="002C6FFF">
        <w:t>Both of these</w:t>
      </w:r>
      <w:proofErr w:type="gramEnd"/>
      <w:r w:rsidR="002C6FFF">
        <w:t xml:space="preserve"> techniques have </w:t>
      </w:r>
      <w:r w:rsidR="004C302F">
        <w:t>been</w:t>
      </w:r>
      <w:r w:rsidR="002C6FFF">
        <w:t xml:space="preserve"> very slow to change in comparison to the </w:t>
      </w:r>
      <w:r w:rsidR="004C302F">
        <w:t xml:space="preserve">rate of </w:t>
      </w:r>
      <w:r w:rsidR="002C6FFF">
        <w:t>replacement of coal plants with PV and wind.</w:t>
      </w:r>
      <w:r w:rsidR="00CB7215">
        <w:t xml:space="preserve">  The air-conditioning peaks are </w:t>
      </w:r>
      <w:proofErr w:type="gramStart"/>
      <w:r w:rsidR="00CB7215">
        <w:t>quite obvious</w:t>
      </w:r>
      <w:proofErr w:type="gramEnd"/>
      <w:r w:rsidR="00CB7215">
        <w:t xml:space="preserve"> in Figure 2, for 2019, when the afternoons in August use high fractions of fossil-fueled electricity.</w:t>
      </w:r>
    </w:p>
    <w:bookmarkEnd w:id="0"/>
    <w:p w14:paraId="553A05E6" w14:textId="7D97A293" w:rsidR="006D7807" w:rsidRDefault="00B86BB9" w:rsidP="00B27D9C">
      <w:pPr>
        <w:pStyle w:val="BodyText"/>
        <w:ind w:firstLine="0"/>
      </w:pPr>
      <w:r>
        <w:t xml:space="preserve">   </w:t>
      </w:r>
      <w:r w:rsidR="008118EE">
        <w:t>What is evident in Fig</w:t>
      </w:r>
      <w:r w:rsidR="00044AD0">
        <w:t>.</w:t>
      </w:r>
      <w:r w:rsidR="008118EE">
        <w:t xml:space="preserve"> 2 in the hourly average fossil-fuel intensity graphs in 2019</w:t>
      </w:r>
      <w:r w:rsidR="00CA7DE4">
        <w:t xml:space="preserve"> is that</w:t>
      </w:r>
      <w:r w:rsidR="008118EE">
        <w:t xml:space="preserve"> the fossil</w:t>
      </w:r>
      <w:r w:rsidR="00044AD0">
        <w:t>-</w:t>
      </w:r>
      <w:r w:rsidR="008118EE">
        <w:t xml:space="preserve"> and wind</w:t>
      </w:r>
      <w:r w:rsidR="00044AD0">
        <w:t>-driven</w:t>
      </w:r>
      <w:r w:rsidR="008118EE">
        <w:t xml:space="preserve"> grid had no strong annual trend to prefer any </w:t>
      </w:r>
      <w:proofErr w:type="gramStart"/>
      <w:r w:rsidR="008118EE">
        <w:t>particular hours</w:t>
      </w:r>
      <w:proofErr w:type="gramEnd"/>
      <w:r w:rsidR="008118EE">
        <w:t xml:space="preserve"> to minimize CO</w:t>
      </w:r>
      <w:r w:rsidR="008118EE" w:rsidRPr="00BA7D34">
        <w:rPr>
          <w:vertAlign w:val="subscript"/>
        </w:rPr>
        <w:t>2</w:t>
      </w:r>
      <w:r w:rsidR="008118EE">
        <w:t xml:space="preserve">.  In contrast, by 2023, </w:t>
      </w:r>
      <w:r w:rsidR="004C302F">
        <w:t>daytime hours</w:t>
      </w:r>
      <w:r w:rsidR="008118EE">
        <w:t xml:space="preserve"> </w:t>
      </w:r>
      <w:r w:rsidR="00F067D6">
        <w:t>become</w:t>
      </w:r>
      <w:r w:rsidR="008118EE">
        <w:t xml:space="preserve"> much cleaner. It can be appreciated from the </w:t>
      </w:r>
      <w:r w:rsidR="004C302F">
        <w:t>experience</w:t>
      </w:r>
      <w:r w:rsidR="008118EE">
        <w:t xml:space="preserve"> of </w:t>
      </w:r>
      <w:r w:rsidR="004C302F">
        <w:t>California</w:t>
      </w:r>
      <w:r w:rsidR="008118EE">
        <w:t xml:space="preserve"> that </w:t>
      </w:r>
      <w:r w:rsidR="004C302F">
        <w:t>high generation</w:t>
      </w:r>
      <w:r w:rsidR="008118EE">
        <w:t xml:space="preserve"> of </w:t>
      </w:r>
      <w:r w:rsidR="004C302F">
        <w:t>solar electricity</w:t>
      </w:r>
      <w:r w:rsidR="008118EE">
        <w:t xml:space="preserve"> during daytime also creates low prices during daytime</w:t>
      </w:r>
      <w:r w:rsidR="004C302F">
        <w:t xml:space="preserve"> (Fig. 3). </w:t>
      </w:r>
      <w:r w:rsidR="006555DD">
        <w:t xml:space="preserve"> </w:t>
      </w:r>
    </w:p>
    <w:p w14:paraId="027B0C55" w14:textId="15A6F39C" w:rsidR="00350C35" w:rsidRDefault="008118EE" w:rsidP="00624E96">
      <w:pPr>
        <w:pStyle w:val="BodyText"/>
      </w:pPr>
      <w:r>
        <w:t>TOU rate</w:t>
      </w:r>
      <w:r w:rsidR="006D7807">
        <w:t xml:space="preserve"> development</w:t>
      </w:r>
      <w:r>
        <w:t xml:space="preserve"> for </w:t>
      </w:r>
      <w:proofErr w:type="spellStart"/>
      <w:r>
        <w:t>PSCo</w:t>
      </w:r>
      <w:proofErr w:type="spellEnd"/>
      <w:r>
        <w:t xml:space="preserve"> in Colorado </w:t>
      </w:r>
      <w:r w:rsidR="00D54199">
        <w:t>started in 2016</w:t>
      </w:r>
      <w:r w:rsidR="00946D71">
        <w:t xml:space="preserve"> </w:t>
      </w:r>
      <w:r w:rsidR="00946D71">
        <w:fldChar w:fldCharType="begin"/>
      </w:r>
      <w:r w:rsidR="00624E96">
        <w:instrText xml:space="preserve"> ADDIN EN.CITE &lt;EndNote&gt;&lt;Cite&gt;&lt;Year&gt;April 2020&lt;/Year&gt;&lt;RecNum&gt;16&lt;/RecNum&gt;&lt;DisplayText&gt;[20]&lt;/DisplayText&gt;&lt;record&gt;&lt;rec-number&gt;16&lt;/rec-number&gt;&lt;foreign-keys&gt;&lt;key app="EN" db-id="0t5529r5t9fw5eeevs6pvsf7zetpxrvxx2we" timestamp="1682959552"&gt;16&lt;/key&gt;&lt;/foreign-keys&gt;&lt;ref-type name="Unpublished Work"&gt;34&lt;/ref-type&gt;&lt;contributors&gt;&lt;/contributors&gt;&lt;titles&gt;&lt;title&gt;Direct Testimony of Gwendolyn Farnsworth, Proceeding number 19AL-0687E of the Colorado Public Utilities Commission (Unpublished).&lt;/title&gt;&lt;/titles&gt;&lt;pages&gt;6-13&lt;/pages&gt;&lt;dates&gt;&lt;year&gt;April 2020&lt;/year&gt;&lt;/dates&gt;&lt;urls&gt;&lt;/urls&gt;&lt;/record&gt;&lt;/Cite&gt;&lt;/EndNote&gt;</w:instrText>
      </w:r>
      <w:r w:rsidR="00946D71">
        <w:fldChar w:fldCharType="separate"/>
      </w:r>
      <w:r w:rsidR="00624E96">
        <w:rPr>
          <w:noProof/>
        </w:rPr>
        <w:t>[20]</w:t>
      </w:r>
      <w:r w:rsidR="00946D71">
        <w:fldChar w:fldCharType="end"/>
      </w:r>
      <w:r w:rsidR="00D54199">
        <w:t xml:space="preserve">.  </w:t>
      </w:r>
      <w:r w:rsidR="006D7807">
        <w:t>A</w:t>
      </w:r>
      <w:r w:rsidR="00956408">
        <w:t xml:space="preserve"> pilot program </w:t>
      </w:r>
      <w:r>
        <w:t>was followed by a TOU d</w:t>
      </w:r>
      <w:r w:rsidR="00EE7020">
        <w:t xml:space="preserve">ocket resulting in a </w:t>
      </w:r>
      <w:r w:rsidR="00956408">
        <w:t>settlement to</w:t>
      </w:r>
      <w:r>
        <w:t xml:space="preserve"> install new meters and implement a TOU rate phased into the entire territory by 2025. The rate chosen, shown in F</w:t>
      </w:r>
      <w:r w:rsidR="00F05990">
        <w:t>ig</w:t>
      </w:r>
      <w:r w:rsidR="00044AD0">
        <w:t>.</w:t>
      </w:r>
      <w:r w:rsidR="007256D1">
        <w:t xml:space="preserve"> 4</w:t>
      </w:r>
      <w:r>
        <w:t xml:space="preserve">, has vestiges of its origin in 2016 in that it is designed for the </w:t>
      </w:r>
      <w:r w:rsidR="006D7807">
        <w:t xml:space="preserve">2016 </w:t>
      </w:r>
      <w:r>
        <w:t xml:space="preserve">grid, </w:t>
      </w:r>
      <w:r w:rsidR="006D7807">
        <w:t>a</w:t>
      </w:r>
      <w:r>
        <w:t xml:space="preserve"> fossil-fueled grid.  Data presented by the utility</w:t>
      </w:r>
      <w:r w:rsidR="00302128">
        <w:t xml:space="preserve"> to optimize the rate</w:t>
      </w:r>
      <w:r w:rsidR="00F05990">
        <w:t xml:space="preserve"> was for 2022, which from Fig</w:t>
      </w:r>
      <w:r w:rsidR="00044AD0">
        <w:t>.</w:t>
      </w:r>
      <w:r w:rsidR="00F05990">
        <w:t xml:space="preserve"> </w:t>
      </w:r>
      <w:r>
        <w:t xml:space="preserve">1 can be seen to be just prior to the installation of </w:t>
      </w:r>
      <w:r w:rsidR="00990C0D">
        <w:t>approximately 1</w:t>
      </w:r>
      <w:r w:rsidR="006D7807">
        <w:t xml:space="preserve"> </w:t>
      </w:r>
      <w:r w:rsidR="00990C0D">
        <w:t>GW</w:t>
      </w:r>
      <w:r>
        <w:t xml:space="preserve"> of utility </w:t>
      </w:r>
      <w:r w:rsidR="004C302F">
        <w:t>solar</w:t>
      </w:r>
      <w:r>
        <w:t xml:space="preserve">.  </w:t>
      </w:r>
      <w:r w:rsidR="00BA7D34">
        <w:t>The</w:t>
      </w:r>
      <w:r>
        <w:t xml:space="preserve"> TOU rate was designed solely to reduce the demand peaks</w:t>
      </w:r>
      <w:r w:rsidR="00BA7D34">
        <w:t>.</w:t>
      </w:r>
      <w:r>
        <w:t xml:space="preserve"> </w:t>
      </w:r>
      <w:r w:rsidR="00BA7D34">
        <w:t>It</w:t>
      </w:r>
      <w:r>
        <w:t xml:space="preserve"> was not designed for the </w:t>
      </w:r>
      <w:r w:rsidR="00302128">
        <w:t xml:space="preserve">future </w:t>
      </w:r>
      <w:r>
        <w:t>net-demand peaks (demand-renewables) or the cleanest available power when renewables</w:t>
      </w:r>
      <w:r w:rsidR="00350C35" w:rsidRPr="00350C35">
        <w:t xml:space="preserve"> </w:t>
      </w:r>
      <w:r w:rsidR="00350C35">
        <w:t>meet large fractions of the load.</w:t>
      </w:r>
      <w:r w:rsidR="00350C35" w:rsidRPr="00F165B8">
        <w:t xml:space="preserve"> </w:t>
      </w:r>
    </w:p>
    <w:p w14:paraId="4247EFAB" w14:textId="4EE25F0C" w:rsidR="008A7655" w:rsidRDefault="005A3DD3" w:rsidP="005A3DD3">
      <w:pPr>
        <w:pStyle w:val="BodyText"/>
        <w:jc w:val="center"/>
      </w:pPr>
      <w:r w:rsidRPr="005A3DD3">
        <w:rPr>
          <w:noProof/>
        </w:rPr>
        <w:drawing>
          <wp:inline distT="0" distB="0" distL="0" distR="0" wp14:anchorId="5D652B25" wp14:editId="5F13EBB9">
            <wp:extent cx="2736850" cy="1741192"/>
            <wp:effectExtent l="0" t="0" r="6350"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4"/>
                    <a:stretch>
                      <a:fillRect/>
                    </a:stretch>
                  </pic:blipFill>
                  <pic:spPr>
                    <a:xfrm>
                      <a:off x="0" y="0"/>
                      <a:ext cx="2738483" cy="1742231"/>
                    </a:xfrm>
                    <a:prstGeom prst="rect">
                      <a:avLst/>
                    </a:prstGeom>
                  </pic:spPr>
                </pic:pic>
              </a:graphicData>
            </a:graphic>
          </wp:inline>
        </w:drawing>
      </w:r>
    </w:p>
    <w:p w14:paraId="7770BC3D" w14:textId="60EF2EFC" w:rsidR="000C4E96" w:rsidRPr="002C6CB8" w:rsidRDefault="000A637F" w:rsidP="00A90E5B">
      <w:pPr>
        <w:pStyle w:val="Subtitle"/>
      </w:pPr>
      <w:r>
        <w:t xml:space="preserve">The </w:t>
      </w:r>
      <w:r w:rsidR="00044AD0">
        <w:t>t</w:t>
      </w:r>
      <w:r>
        <w:t>ime-of-</w:t>
      </w:r>
      <w:r w:rsidR="00044AD0">
        <w:t>u</w:t>
      </w:r>
      <w:r>
        <w:t xml:space="preserve">se week-day rates being </w:t>
      </w:r>
      <w:r w:rsidR="004C302F">
        <w:t>used</w:t>
      </w:r>
      <w:r>
        <w:t xml:space="preserve"> in </w:t>
      </w:r>
      <w:proofErr w:type="spellStart"/>
      <w:r>
        <w:t>PSCo</w:t>
      </w:r>
      <w:proofErr w:type="spellEnd"/>
      <w:r>
        <w:t xml:space="preserve"> territory phased in </w:t>
      </w:r>
      <w:r w:rsidRPr="00AB2617">
        <w:t xml:space="preserve">through 2025 </w:t>
      </w:r>
      <w:r w:rsidRPr="00AB2617">
        <w:fldChar w:fldCharType="begin"/>
      </w:r>
      <w:r w:rsidR="00624E96">
        <w:instrText xml:space="preserve"> ADDIN EN.CITE &lt;EndNote&gt;&lt;Cite&gt;&lt;RecNum&gt;29&lt;/RecNum&gt;&lt;DisplayText&gt;[21]&lt;/DisplayText&gt;&lt;record&gt;&lt;rec-number&gt;29&lt;/rec-number&gt;&lt;foreign-keys&gt;&lt;key app="EN" db-id="0t5529r5t9fw5eeevs6pvsf7zetpxrvxx2we" timestamp="1684149571"&gt;29&lt;/key&gt;&lt;/foreign-keys&gt;&lt;ref-type name="Web Page"&gt;12&lt;/ref-type&gt;&lt;contributors&gt;&lt;/contributors&gt;&lt;titles&gt;&lt;title&gt;Time of use pricing&lt;/title&gt;&lt;/titles&gt;&lt;volume&gt;2023&lt;/volume&gt;&lt;number&gt;May 13&lt;/number&gt;&lt;dates&gt;&lt;/dates&gt;&lt;publisher&gt;Xcel Energy&lt;/publisher&gt;&lt;urls&gt;&lt;related-urls&gt;&lt;url&gt;https://co.my.xcelenergy.com/s/billing-payment/residential-rates/time-of-use-pricing&lt;/url&gt;&lt;/related-urls&gt;&lt;/urls&gt;&lt;/record&gt;&lt;/Cite&gt;&lt;/EndNote&gt;</w:instrText>
      </w:r>
      <w:r w:rsidRPr="00AB2617">
        <w:fldChar w:fldCharType="separate"/>
      </w:r>
      <w:r w:rsidR="00624E96">
        <w:rPr>
          <w:noProof/>
        </w:rPr>
        <w:t>[21]</w:t>
      </w:r>
      <w:r w:rsidRPr="00AB2617">
        <w:fldChar w:fldCharType="end"/>
      </w:r>
    </w:p>
    <w:p w14:paraId="3AF2760F" w14:textId="74D5CD20" w:rsidR="00350C35" w:rsidRDefault="0080687F" w:rsidP="000F347D">
      <w:pPr>
        <w:pStyle w:val="BodyText"/>
      </w:pPr>
      <w:r w:rsidRPr="0080687F">
        <w:t>The</w:t>
      </w:r>
      <w:r w:rsidR="00350C35" w:rsidRPr="0080687F">
        <w:t xml:space="preserve"> TOU</w:t>
      </w:r>
      <w:r w:rsidR="00350C35">
        <w:t xml:space="preserve"> rate</w:t>
      </w:r>
      <w:r w:rsidR="009360F1">
        <w:t xml:space="preserve"> shown in Fig. 4</w:t>
      </w:r>
      <w:r w:rsidR="00350C35">
        <w:t xml:space="preserve"> does not shift power use into daytime when renewables </w:t>
      </w:r>
      <w:r w:rsidR="006D7807">
        <w:t xml:space="preserve">are abundant </w:t>
      </w:r>
      <w:r w:rsidR="00350C35">
        <w:t xml:space="preserve">during all four seasons of the year. The institutional momentum from a process that stretches over </w:t>
      </w:r>
      <w:r w:rsidR="007E22AB">
        <w:t>nine</w:t>
      </w:r>
      <w:r w:rsidR="00350C35">
        <w:t xml:space="preserve"> years results in rate design that fails to adapt to a rapidly changing generation mix.</w:t>
      </w:r>
    </w:p>
    <w:p w14:paraId="02A7E7B5" w14:textId="24707784" w:rsidR="00AA31F7" w:rsidRDefault="00350C35" w:rsidP="00624E96">
      <w:r>
        <w:t>In the 2021 resource plan to determine retirement dates of coal plants and choose replacement resources, this same TOU rate was assumed to persist through the entire planning period, with a major effect on the assumed hourly demand profile for 30 years. The reason given for this is that it was the only rate approved by the PUC.  Any other rates or resulting demand profiles were said to be “speculative” and put off to a future PUC docket dealing specifically with transportation</w:t>
      </w:r>
      <w:r w:rsidR="001C4C1C">
        <w:t xml:space="preserve"> </w:t>
      </w:r>
      <w:r>
        <w:t>rates</w:t>
      </w:r>
      <w:r w:rsidR="00946D71">
        <w:t xml:space="preserve"> </w:t>
      </w:r>
      <w:r w:rsidR="00946D71">
        <w:fldChar w:fldCharType="begin"/>
      </w:r>
      <w:r w:rsidR="00624E96">
        <w:instrText xml:space="preserve"> ADDIN EN.CITE &lt;EndNote&gt;&lt;Cite&gt;&lt;Year&gt;Nov. 2021&lt;/Year&gt;&lt;RecNum&gt;17&lt;/RecNum&gt;&lt;DisplayText&gt;[22]&lt;/DisplayText&gt;&lt;record&gt;&lt;rec-number&gt;17&lt;/rec-number&gt;&lt;foreign-keys&gt;&lt;key app="EN" db-id="0t5529r5t9fw5eeevs6pvsf7zetpxrvxx2we" timestamp="1682959701"&gt;17&lt;/key&gt;&lt;/foreign-keys&gt;&lt;ref-type name="Unpublished Work"&gt;34&lt;/ref-type&gt;&lt;contributors&gt;&lt;/contributors&gt;&lt;titles&gt;&lt;title&gt;Rebuttal Testimony of Jack W. Ihle, Proceeding number 21A-0141E of the Colorado Public Utilities Commission (Unpublished)&lt;/title&gt;&lt;/titles&gt;&lt;pages&gt;37&lt;/pages&gt;&lt;dates&gt;&lt;year&gt;Nov. 2021&lt;/year&gt;&lt;/dates&gt;&lt;urls&gt;&lt;/urls&gt;&lt;/record&gt;&lt;/Cite&gt;&lt;/EndNote&gt;</w:instrText>
      </w:r>
      <w:r w:rsidR="00946D71">
        <w:fldChar w:fldCharType="separate"/>
      </w:r>
      <w:r w:rsidR="00624E96">
        <w:rPr>
          <w:noProof/>
        </w:rPr>
        <w:t>[22]</w:t>
      </w:r>
      <w:r w:rsidR="00946D71">
        <w:fldChar w:fldCharType="end"/>
      </w:r>
      <w:r>
        <w:t>.  It was not considered suitable for discussion within a resource plan. In a subsequent demand-side management strategic issues docket that is in progress, TOU and EV managed charging are again said to be better handled in future</w:t>
      </w:r>
      <w:r w:rsidR="00F72597" w:rsidRPr="00F72597">
        <w:t xml:space="preserve"> </w:t>
      </w:r>
      <w:r w:rsidR="00F72597">
        <w:t xml:space="preserve">more </w:t>
      </w:r>
      <w:r w:rsidR="00A336F9">
        <w:t>s</w:t>
      </w:r>
      <w:r w:rsidR="00F72597">
        <w:t xml:space="preserve">pecialized dockets. </w:t>
      </w:r>
      <w:r w:rsidR="00912839">
        <w:t>The opportunity to change demand patterns to better match renewable generation before 2030 was assumed to have no effect on the choice of new generation</w:t>
      </w:r>
      <w:r>
        <w:t>.</w:t>
      </w:r>
      <w:r w:rsidR="0039304A">
        <w:t xml:space="preserve"> </w:t>
      </w:r>
    </w:p>
    <w:p w14:paraId="1C9CA0F3" w14:textId="049334DA" w:rsidR="00197F85" w:rsidRPr="000E647C" w:rsidRDefault="00197F85" w:rsidP="00B51360">
      <w:pPr>
        <w:pStyle w:val="Heading2"/>
      </w:pPr>
      <w:r>
        <w:t>Opportunity for demand management to affect resource planning</w:t>
      </w:r>
    </w:p>
    <w:p w14:paraId="46474EB8" w14:textId="6FE4ED68" w:rsidR="009360F1" w:rsidRDefault="0039304A" w:rsidP="00624E96">
      <w:pPr>
        <w:rPr>
          <w:rFonts w:eastAsia="MS Mincho"/>
          <w:color w:val="000000"/>
        </w:rPr>
      </w:pPr>
      <w:r>
        <w:rPr>
          <w:rFonts w:eastAsia="MS Mincho"/>
          <w:color w:val="000000"/>
        </w:rPr>
        <w:t xml:space="preserve">Recent publications have dealt with the very relevant case of EV charging optimization to reduce grid impacts on the Western Electricity Coordinating Council, WECC, grid as it trends towards clean energy with a large fraction of PV </w:t>
      </w:r>
      <w:r>
        <w:rPr>
          <w:rFonts w:eastAsia="MS Mincho"/>
          <w:color w:val="000000"/>
        </w:rPr>
        <w:fldChar w:fldCharType="begin"/>
      </w:r>
      <w:r w:rsidR="00624E96">
        <w:rPr>
          <w:rFonts w:eastAsia="MS Mincho"/>
          <w:color w:val="000000"/>
        </w:rPr>
        <w:instrText xml:space="preserve"> ADDIN EN.CITE &lt;EndNote&gt;&lt;Cite&gt;&lt;Author&gt;Powell&lt;/Author&gt;&lt;Year&gt;2022&lt;/Year&gt;&lt;RecNum&gt;18&lt;/RecNum&gt;&lt;DisplayText&gt;[23]&lt;/DisplayText&gt;&lt;record&gt;&lt;rec-number&gt;18&lt;/rec-number&gt;&lt;foreign-keys&gt;&lt;key app="EN" db-id="0t5529r5t9fw5eeevs6pvsf7zetpxrvxx2we" timestamp="1682959771"&gt;18&lt;/key&gt;&lt;/foreign-keys&gt;&lt;ref-type name="Journal Article"&gt;17&lt;/ref-type&gt;&lt;contributors&gt;&lt;authors&gt;&lt;author&gt;Powell, Siobhan&lt;/author&gt;&lt;author&gt;Cezar, Gustavo Vianna&lt;/author&gt;&lt;author&gt;Min, Liang&lt;/author&gt;&lt;author&gt;Azevedo, Inês ML&lt;/author&gt;&lt;author&gt;Rajagopal, Ram&lt;/author&gt;&lt;/authors&gt;&lt;/contributors&gt;&lt;titles&gt;&lt;title&gt;Charging infrastructure access and operation to reduce the grid impacts of deep electric vehicle adoption&lt;/title&gt;&lt;secondary-title&gt;Nature Energy&lt;/secondary-title&gt;&lt;/titles&gt;&lt;periodical&gt;&lt;full-title&gt;Nature Energy&lt;/full-title&gt;&lt;/periodical&gt;&lt;pages&gt;932-945&lt;/pages&gt;&lt;volume&gt;7&lt;/volume&gt;&lt;number&gt;10&lt;/number&gt;&lt;dates&gt;&lt;year&gt;2022&lt;/year&gt;&lt;/dates&gt;&lt;isbn&gt;2058-7546&lt;/isbn&gt;&lt;urls&gt;&lt;related-urls&gt;&lt;url&gt;https://www.nature.com/articles/s41560-022-01105-7&lt;/url&gt;&lt;/related-urls&gt;&lt;/urls&gt;&lt;/record&gt;&lt;/Cite&gt;&lt;/EndNote&gt;</w:instrText>
      </w:r>
      <w:r>
        <w:rPr>
          <w:rFonts w:eastAsia="MS Mincho"/>
          <w:color w:val="000000"/>
        </w:rPr>
        <w:fldChar w:fldCharType="separate"/>
      </w:r>
      <w:r w:rsidR="00624E96">
        <w:rPr>
          <w:rFonts w:eastAsia="MS Mincho"/>
          <w:noProof/>
          <w:color w:val="000000"/>
        </w:rPr>
        <w:t>[23]</w:t>
      </w:r>
      <w:r>
        <w:rPr>
          <w:rFonts w:eastAsia="MS Mincho"/>
          <w:color w:val="000000"/>
        </w:rPr>
        <w:fldChar w:fldCharType="end"/>
      </w:r>
      <w:r>
        <w:rPr>
          <w:rFonts w:eastAsia="MS Mincho"/>
          <w:color w:val="000000"/>
        </w:rPr>
        <w:t>.  The general conclusion of th</w:t>
      </w:r>
      <w:r w:rsidR="00183849">
        <w:rPr>
          <w:rFonts w:eastAsia="MS Mincho"/>
          <w:color w:val="000000"/>
        </w:rPr>
        <w:t>at</w:t>
      </w:r>
      <w:r>
        <w:rPr>
          <w:rFonts w:eastAsia="MS Mincho"/>
          <w:color w:val="000000"/>
        </w:rPr>
        <w:t xml:space="preserve"> study is “…shifting drivers from home to daytime charging improves all metrics of grid impact including ramping, use of non-fossil fuel generation, storage requirements, and emissions.”  As </w:t>
      </w:r>
      <w:r w:rsidR="00DB37CF">
        <w:rPr>
          <w:rFonts w:eastAsia="MS Mincho"/>
          <w:color w:val="000000"/>
        </w:rPr>
        <w:t>illustrated</w:t>
      </w:r>
      <w:r>
        <w:rPr>
          <w:rFonts w:eastAsia="MS Mincho"/>
          <w:color w:val="000000"/>
        </w:rPr>
        <w:t xml:space="preserve"> </w:t>
      </w:r>
      <w:r w:rsidR="00183849">
        <w:rPr>
          <w:rFonts w:eastAsia="MS Mincho"/>
          <w:color w:val="000000"/>
        </w:rPr>
        <w:t>in</w:t>
      </w:r>
      <w:r>
        <w:rPr>
          <w:rFonts w:eastAsia="MS Mincho"/>
          <w:color w:val="000000"/>
        </w:rPr>
        <w:t xml:space="preserve"> </w:t>
      </w:r>
      <w:r w:rsidR="00D41C34">
        <w:rPr>
          <w:rFonts w:eastAsia="MS Mincho"/>
          <w:color w:val="000000"/>
        </w:rPr>
        <w:t>Fig. 3</w:t>
      </w:r>
      <w:r w:rsidR="00183849">
        <w:rPr>
          <w:rFonts w:eastAsia="MS Mincho"/>
          <w:color w:val="000000"/>
        </w:rPr>
        <w:t>,</w:t>
      </w:r>
      <w:r>
        <w:rPr>
          <w:rFonts w:eastAsia="MS Mincho"/>
          <w:color w:val="000000"/>
        </w:rPr>
        <w:t xml:space="preserve"> EV charging during daytime would </w:t>
      </w:r>
      <w:r w:rsidR="00B51360">
        <w:rPr>
          <w:rFonts w:eastAsia="MS Mincho"/>
          <w:color w:val="000000"/>
        </w:rPr>
        <w:t>use the</w:t>
      </w:r>
      <w:r w:rsidR="00183849">
        <w:rPr>
          <w:rFonts w:eastAsia="MS Mincho"/>
          <w:color w:val="000000"/>
        </w:rPr>
        <w:t xml:space="preserve"> cleanest and lowest cost electricity</w:t>
      </w:r>
      <w:r>
        <w:rPr>
          <w:rFonts w:eastAsia="MS Mincho"/>
          <w:color w:val="000000"/>
        </w:rPr>
        <w:t xml:space="preserve"> in California</w:t>
      </w:r>
      <w:r w:rsidR="00183849">
        <w:rPr>
          <w:rFonts w:eastAsia="MS Mincho"/>
          <w:color w:val="000000"/>
        </w:rPr>
        <w:t>,</w:t>
      </w:r>
      <w:r>
        <w:rPr>
          <w:rFonts w:eastAsia="MS Mincho"/>
          <w:color w:val="000000"/>
        </w:rPr>
        <w:t xml:space="preserve"> as has been discussed in previous publications </w:t>
      </w:r>
      <w:r>
        <w:rPr>
          <w:rFonts w:eastAsia="MS Mincho"/>
          <w:color w:val="000000"/>
        </w:rPr>
        <w:fldChar w:fldCharType="begin"/>
      </w:r>
      <w:r w:rsidR="00624E96">
        <w:rPr>
          <w:rFonts w:eastAsia="MS Mincho"/>
          <w:color w:val="000000"/>
        </w:rPr>
        <w:instrText xml:space="preserve"> ADDIN EN.CITE &lt;EndNote&gt;&lt;Cite&gt;&lt;Author&gt;Sinton&lt;/Author&gt;&lt;Year&gt;2020&lt;/Year&gt;&lt;RecNum&gt;19&lt;/RecNum&gt;&lt;DisplayText&gt;[24, 25]&lt;/DisplayText&gt;&lt;record&gt;&lt;rec-number&gt;19&lt;/rec-number&gt;&lt;foreign-keys&gt;&lt;key app="EN" db-id="0t5529r5t9fw5eeevs6pvsf7zetpxrvxx2we" timestamp="1682959835"&gt;19&lt;/key&gt;&lt;/foreign-keys&gt;&lt;ref-type name="Conference Proceedings"&gt;10&lt;/ref-type&gt;&lt;contributors&gt;&lt;authors&gt;&lt;author&gt;Sinton, Ronald A&lt;/author&gt;&lt;/authors&gt;&lt;/contributors&gt;&lt;titles&gt;&lt;title&gt;Visualizing the Promise and Difficulty of Demand Shifting During a Clean-Energy Transition&lt;/title&gt;&lt;secondary-title&gt;2020 47th IEEE Photovoltaic Specialists Conference (PVSC)&lt;/secondary-title&gt;&lt;/titles&gt;&lt;pages&gt;2564-2566&lt;/pages&gt;&lt;dates&gt;&lt;year&gt;2020&lt;/year&gt;&lt;/dates&gt;&lt;publisher&gt;IEEE&lt;/publisher&gt;&lt;isbn&gt;1728161150&lt;/isbn&gt;&lt;urls&gt;&lt;/urls&gt;&lt;/record&gt;&lt;/Cite&gt;&lt;Cite&gt;&lt;Author&gt;Sinton&lt;/Author&gt;&lt;Year&gt;2022&lt;/Year&gt;&lt;RecNum&gt;20&lt;/RecNum&gt;&lt;record&gt;&lt;rec-number&gt;20&lt;/rec-number&gt;&lt;foreign-keys&gt;&lt;key app="EN" db-id="0t5529r5t9fw5eeevs6pvsf7zetpxrvxx2we" timestamp="1682959986"&gt;20&lt;/key&gt;&lt;/foreign-keys&gt;&lt;ref-type name="Conference Proceedings"&gt;10&lt;/ref-type&gt;&lt;contributors&gt;&lt;authors&gt;&lt;author&gt;Sinton, Ronald A&lt;/author&gt;&lt;/authors&gt;&lt;/contributors&gt;&lt;titles&gt;&lt;title&gt;Observations On A Colorado Electric-Utility Resource Plan For Increasing Renewables From 55% to 80% By 2030&lt;/title&gt;&lt;secondary-title&gt;2022 IEEE 49th Photovoltaics Specialists Conference (PVSC)&lt;/secondary-title&gt;&lt;/titles&gt;&lt;pages&gt;0925-0929&lt;/pages&gt;&lt;dates&gt;&lt;year&gt;2022&lt;/year&gt;&lt;/dates&gt;&lt;publisher&gt;IEEE&lt;/publisher&gt;&lt;isbn&gt;1728161177&lt;/isbn&gt;&lt;urls&gt;&lt;/urls&gt;&lt;/record&gt;&lt;/Cite&gt;&lt;/EndNote&gt;</w:instrText>
      </w:r>
      <w:r>
        <w:rPr>
          <w:rFonts w:eastAsia="MS Mincho"/>
          <w:color w:val="000000"/>
        </w:rPr>
        <w:fldChar w:fldCharType="separate"/>
      </w:r>
      <w:r w:rsidR="00624E96">
        <w:rPr>
          <w:rFonts w:eastAsia="MS Mincho"/>
          <w:noProof/>
          <w:color w:val="000000"/>
        </w:rPr>
        <w:t>[24, 25]</w:t>
      </w:r>
      <w:r>
        <w:rPr>
          <w:rFonts w:eastAsia="MS Mincho"/>
          <w:color w:val="000000"/>
        </w:rPr>
        <w:fldChar w:fldCharType="end"/>
      </w:r>
      <w:r>
        <w:rPr>
          <w:rFonts w:eastAsia="MS Mincho"/>
          <w:color w:val="000000"/>
        </w:rPr>
        <w:t xml:space="preserve">. </w:t>
      </w:r>
      <w:r w:rsidR="00B51360">
        <w:rPr>
          <w:rFonts w:eastAsia="MS Mincho"/>
          <w:color w:val="000000"/>
        </w:rPr>
        <w:t>Thus, there</w:t>
      </w:r>
      <w:r w:rsidR="00A93132">
        <w:rPr>
          <w:rFonts w:eastAsia="MS Mincho"/>
          <w:color w:val="000000"/>
        </w:rPr>
        <w:t xml:space="preserve"> is an opportunity for a forward-looking demand</w:t>
      </w:r>
      <w:r w:rsidR="006D7807">
        <w:rPr>
          <w:rFonts w:eastAsia="MS Mincho"/>
          <w:color w:val="000000"/>
        </w:rPr>
        <w:t>-</w:t>
      </w:r>
      <w:r w:rsidR="00A93132">
        <w:rPr>
          <w:rFonts w:eastAsia="MS Mincho"/>
          <w:color w:val="000000"/>
        </w:rPr>
        <w:t>management program to influence resource planning.</w:t>
      </w:r>
      <w:r>
        <w:rPr>
          <w:rFonts w:eastAsia="MS Mincho"/>
          <w:color w:val="000000"/>
        </w:rPr>
        <w:t xml:space="preserve"> </w:t>
      </w:r>
      <w:r w:rsidR="00B51360">
        <w:rPr>
          <w:rFonts w:eastAsia="MS Mincho"/>
          <w:color w:val="000000"/>
        </w:rPr>
        <w:t>However, t</w:t>
      </w:r>
      <w:r>
        <w:rPr>
          <w:rFonts w:eastAsia="MS Mincho"/>
          <w:color w:val="000000"/>
        </w:rPr>
        <w:t>he process to develop new rates and demand management is based on historical data, typically including a pilot study of several years, and achieving consensus of all parties that might be impacted by changes in rates.</w:t>
      </w:r>
      <w:r w:rsidR="00AA31F7">
        <w:rPr>
          <w:rFonts w:eastAsia="MS Mincho"/>
          <w:color w:val="000000"/>
        </w:rPr>
        <w:t xml:space="preserve"> </w:t>
      </w:r>
    </w:p>
    <w:p w14:paraId="7EF773A7" w14:textId="78E94DA8" w:rsidR="009360F1" w:rsidRDefault="00184EFA" w:rsidP="00340934">
      <w:pPr>
        <w:rPr>
          <w:i/>
          <w:iCs/>
          <w:color w:val="000000"/>
        </w:rPr>
      </w:pPr>
      <w:r>
        <w:rPr>
          <w:color w:val="000000"/>
        </w:rPr>
        <w:t>T</w:t>
      </w:r>
      <w:r w:rsidR="0039304A">
        <w:rPr>
          <w:color w:val="000000"/>
        </w:rPr>
        <w:t>he</w:t>
      </w:r>
      <w:r w:rsidR="009360F1">
        <w:rPr>
          <w:color w:val="000000"/>
        </w:rPr>
        <w:t xml:space="preserve"> results </w:t>
      </w:r>
      <w:r w:rsidR="00A93132">
        <w:rPr>
          <w:color w:val="000000"/>
        </w:rPr>
        <w:t>for</w:t>
      </w:r>
      <w:r w:rsidR="009360F1">
        <w:rPr>
          <w:color w:val="000000"/>
        </w:rPr>
        <w:t xml:space="preserve"> Colorado and California show the possibility of enjoying low cost and clean sources in daytime </w:t>
      </w:r>
      <w:r w:rsidR="00A93132">
        <w:rPr>
          <w:color w:val="000000"/>
        </w:rPr>
        <w:t>if demand management can successfully guide new loads toward daytime</w:t>
      </w:r>
      <w:r w:rsidR="009360F1">
        <w:rPr>
          <w:color w:val="000000"/>
        </w:rPr>
        <w:t xml:space="preserve">. </w:t>
      </w:r>
      <w:r w:rsidR="00A93132">
        <w:rPr>
          <w:color w:val="000000"/>
        </w:rPr>
        <w:t>A study of the entire U.S. by</w:t>
      </w:r>
      <w:r w:rsidR="009360F1">
        <w:rPr>
          <w:color w:val="000000"/>
        </w:rPr>
        <w:t xml:space="preserve"> Gagnon and Cole </w:t>
      </w:r>
      <w:r w:rsidR="009360F1">
        <w:rPr>
          <w:color w:val="000000"/>
        </w:rPr>
        <w:fldChar w:fldCharType="begin"/>
      </w:r>
      <w:r w:rsidR="00340934">
        <w:rPr>
          <w:color w:val="000000"/>
        </w:rPr>
        <w:instrText xml:space="preserve"> ADDIN EN.CITE &lt;EndNote&gt;&lt;Cite&gt;&lt;Author&gt;Gagnon&lt;/Author&gt;&lt;Year&gt;2022&lt;/Year&gt;&lt;RecNum&gt;10&lt;/RecNum&gt;&lt;DisplayText&gt;[11]&lt;/DisplayText&gt;&lt;record&gt;&lt;rec-number&gt;10&lt;/rec-number&gt;&lt;foreign-keys&gt;&lt;key app="EN" db-id="0t5529r5t9fw5eeevs6pvsf7zetpxrvxx2we" timestamp="1682834794"&gt;10&lt;/key&gt;&lt;/foreign-keys&gt;&lt;ref-type name="Journal Article"&gt;17&lt;/ref-type&gt;&lt;contributors&gt;&lt;authors&gt;&lt;author&gt;Gagnon, Pieter&lt;/author&gt;&lt;author&gt;Cole, Wesley&lt;/author&gt;&lt;/authors&gt;&lt;/contributors&gt;&lt;titles&gt;&lt;title&gt;Planning for the evolution of the electric grid with a long-run marginal emission rate&lt;/title&gt;&lt;secondary-title&gt;Iscience&lt;/secondary-title&gt;&lt;/titles&gt;&lt;periodical&gt;&lt;full-title&gt;Iscience&lt;/full-title&gt;&lt;/periodical&gt;&lt;pages&gt;103915&lt;/pages&gt;&lt;volume&gt;25&lt;/volume&gt;&lt;number&gt;3&lt;/number&gt;&lt;dates&gt;&lt;year&gt;2022&lt;/year&gt;&lt;/dates&gt;&lt;isbn&gt;2589-0042&lt;/isbn&gt;&lt;urls&gt;&lt;/urls&gt;&lt;/record&gt;&lt;/Cite&gt;&lt;/EndNote&gt;</w:instrText>
      </w:r>
      <w:r w:rsidR="009360F1">
        <w:rPr>
          <w:color w:val="000000"/>
        </w:rPr>
        <w:fldChar w:fldCharType="separate"/>
      </w:r>
      <w:r w:rsidR="00340934">
        <w:rPr>
          <w:noProof/>
          <w:color w:val="000000"/>
        </w:rPr>
        <w:t>[11]</w:t>
      </w:r>
      <w:r w:rsidR="009360F1">
        <w:rPr>
          <w:color w:val="000000"/>
        </w:rPr>
        <w:fldChar w:fldCharType="end"/>
      </w:r>
      <w:r w:rsidR="009360F1">
        <w:rPr>
          <w:color w:val="000000"/>
        </w:rPr>
        <w:t xml:space="preserve"> </w:t>
      </w:r>
      <w:r w:rsidR="00A93132">
        <w:rPr>
          <w:color w:val="000000"/>
        </w:rPr>
        <w:t xml:space="preserve">demonstrates the impressive opportunity. They </w:t>
      </w:r>
      <w:r>
        <w:rPr>
          <w:color w:val="000000"/>
        </w:rPr>
        <w:t>studied</w:t>
      </w:r>
      <w:r w:rsidR="009360F1">
        <w:rPr>
          <w:color w:val="000000"/>
        </w:rPr>
        <w:t xml:space="preserve"> three metrics including average emission, long-run, and short-run marginal emission rates to show the effect of different demand shape strategies on the mixture of resources </w:t>
      </w:r>
      <w:r w:rsidR="00044AD0">
        <w:rPr>
          <w:color w:val="000000"/>
        </w:rPr>
        <w:t xml:space="preserve">selected </w:t>
      </w:r>
      <w:r w:rsidR="009360F1">
        <w:rPr>
          <w:color w:val="000000"/>
        </w:rPr>
        <w:t xml:space="preserve">to address new demands. </w:t>
      </w:r>
      <w:r w:rsidR="000F347D">
        <w:rPr>
          <w:color w:val="000000"/>
        </w:rPr>
        <w:t>Three</w:t>
      </w:r>
      <w:r w:rsidR="009360F1">
        <w:rPr>
          <w:color w:val="000000"/>
        </w:rPr>
        <w:t xml:space="preserve"> </w:t>
      </w:r>
      <w:r w:rsidR="009360F1">
        <w:rPr>
          <w:color w:val="000000"/>
        </w:rPr>
        <w:lastRenderedPageBreak/>
        <w:t xml:space="preserve">main load interventions used in their study </w:t>
      </w:r>
      <w:r w:rsidR="001E2441">
        <w:rPr>
          <w:color w:val="000000"/>
        </w:rPr>
        <w:t xml:space="preserve">together with the </w:t>
      </w:r>
      <w:r w:rsidR="00044AD0">
        <w:rPr>
          <w:color w:val="000000"/>
        </w:rPr>
        <w:t xml:space="preserve">selected </w:t>
      </w:r>
      <w:r w:rsidR="001E2441">
        <w:rPr>
          <w:color w:val="000000"/>
        </w:rPr>
        <w:t>combinations of resource</w:t>
      </w:r>
      <w:r w:rsidR="00044AD0">
        <w:rPr>
          <w:color w:val="000000"/>
        </w:rPr>
        <w:t>s</w:t>
      </w:r>
      <w:r w:rsidR="001E2441">
        <w:rPr>
          <w:color w:val="000000"/>
        </w:rPr>
        <w:t xml:space="preserve"> based on each load shape </w:t>
      </w:r>
      <w:r w:rsidR="009360F1">
        <w:rPr>
          <w:color w:val="000000"/>
        </w:rPr>
        <w:t>are shown in</w:t>
      </w:r>
      <w:r w:rsidR="000F347D">
        <w:rPr>
          <w:color w:val="000000"/>
        </w:rPr>
        <w:t xml:space="preserve"> Fig</w:t>
      </w:r>
      <w:r w:rsidR="00044AD0">
        <w:rPr>
          <w:color w:val="000000"/>
        </w:rPr>
        <w:t>.</w:t>
      </w:r>
      <w:r w:rsidR="000F347D">
        <w:rPr>
          <w:color w:val="000000"/>
        </w:rPr>
        <w:t xml:space="preserve"> 5</w:t>
      </w:r>
      <w:r w:rsidR="009360F1">
        <w:rPr>
          <w:color w:val="000000"/>
        </w:rPr>
        <w:t xml:space="preserve">. </w:t>
      </w:r>
      <w:r w:rsidR="001E2441">
        <w:rPr>
          <w:color w:val="000000"/>
        </w:rPr>
        <w:t xml:space="preserve">These </w:t>
      </w:r>
      <w:r w:rsidR="000F347D">
        <w:rPr>
          <w:color w:val="000000"/>
        </w:rPr>
        <w:t>three</w:t>
      </w:r>
      <w:r w:rsidR="001E2441">
        <w:rPr>
          <w:color w:val="000000"/>
        </w:rPr>
        <w:t xml:space="preserve"> load shapes include adding load during all hours of the day</w:t>
      </w:r>
      <w:r w:rsidR="000F347D">
        <w:rPr>
          <w:color w:val="000000"/>
        </w:rPr>
        <w:t xml:space="preserve"> (orange),</w:t>
      </w:r>
      <w:r w:rsidR="001E2441">
        <w:rPr>
          <w:color w:val="000000"/>
        </w:rPr>
        <w:t xml:space="preserve"> adding load in non-daylight hours (black), and </w:t>
      </w:r>
      <w:r w:rsidR="00A93132">
        <w:rPr>
          <w:color w:val="000000"/>
        </w:rPr>
        <w:t xml:space="preserve">in </w:t>
      </w:r>
      <w:r w:rsidR="001E2441">
        <w:rPr>
          <w:color w:val="000000"/>
        </w:rPr>
        <w:t>daylight hours (</w:t>
      </w:r>
      <w:r w:rsidR="000F347D">
        <w:rPr>
          <w:color w:val="000000"/>
        </w:rPr>
        <w:t>green</w:t>
      </w:r>
      <w:r w:rsidR="001E2441">
        <w:rPr>
          <w:color w:val="000000"/>
        </w:rPr>
        <w:t xml:space="preserve">). </w:t>
      </w:r>
      <w:r w:rsidR="00393A1C">
        <w:rPr>
          <w:color w:val="000000"/>
        </w:rPr>
        <w:t xml:space="preserve">Gagnon and Cole focused on the conclusion that the long-run marginal emission rate best correlated with the observed results. We have plotted (Fig. 5) their load profiles and the capacity expansion </w:t>
      </w:r>
      <w:proofErr w:type="gramStart"/>
      <w:r w:rsidR="00393A1C">
        <w:rPr>
          <w:color w:val="000000"/>
        </w:rPr>
        <w:t>results</w:t>
      </w:r>
      <w:proofErr w:type="gramEnd"/>
      <w:r w:rsidR="00393A1C">
        <w:rPr>
          <w:color w:val="000000"/>
        </w:rPr>
        <w:t xml:space="preserve"> to better understand the striking result of how </w:t>
      </w:r>
      <w:r w:rsidR="009360F1">
        <w:rPr>
          <w:i/>
          <w:iCs/>
          <w:color w:val="000000"/>
        </w:rPr>
        <w:t>adding load during daylight hours</w:t>
      </w:r>
      <w:r>
        <w:rPr>
          <w:i/>
          <w:iCs/>
          <w:color w:val="000000"/>
        </w:rPr>
        <w:t xml:space="preserve"> results in selection of solar and wind resources to meet the new load</w:t>
      </w:r>
      <w:r w:rsidR="00393A1C">
        <w:rPr>
          <w:i/>
          <w:iCs/>
          <w:color w:val="000000"/>
        </w:rPr>
        <w:t>.</w:t>
      </w:r>
      <w:r w:rsidR="00575580">
        <w:rPr>
          <w:i/>
          <w:iCs/>
          <w:color w:val="000000"/>
        </w:rPr>
        <w:t xml:space="preserve"> </w:t>
      </w:r>
    </w:p>
    <w:p w14:paraId="761CDC67" w14:textId="77777777" w:rsidR="007B0F14" w:rsidRDefault="007B0F14" w:rsidP="000F347D">
      <w:pPr>
        <w:rPr>
          <w:color w:val="000000"/>
        </w:rPr>
      </w:pPr>
    </w:p>
    <w:p w14:paraId="4C405CAB" w14:textId="49B2A45A" w:rsidR="001626CC" w:rsidRPr="002901C8" w:rsidRDefault="00D61218" w:rsidP="00CA3B40">
      <w:pPr>
        <w:ind w:firstLine="0"/>
        <w:jc w:val="center"/>
      </w:pPr>
      <w:r>
        <w:rPr>
          <w:noProof/>
        </w:rPr>
        <w:drawing>
          <wp:inline distT="0" distB="0" distL="0" distR="0" wp14:anchorId="270708B6" wp14:editId="7B14028C">
            <wp:extent cx="4933950" cy="3130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3130550"/>
                    </a:xfrm>
                    <a:prstGeom prst="rect">
                      <a:avLst/>
                    </a:prstGeom>
                    <a:noFill/>
                    <a:ln>
                      <a:noFill/>
                    </a:ln>
                  </pic:spPr>
                </pic:pic>
              </a:graphicData>
            </a:graphic>
          </wp:inline>
        </w:drawing>
      </w:r>
    </w:p>
    <w:p w14:paraId="5C2FF2B2" w14:textId="29552A22" w:rsidR="009360F1" w:rsidRDefault="004B3B14" w:rsidP="00A90E5B">
      <w:pPr>
        <w:pStyle w:val="Subtitle"/>
      </w:pPr>
      <w:r>
        <w:rPr>
          <w:rFonts w:eastAsia="MS Mincho"/>
        </w:rPr>
        <w:t>Three</w:t>
      </w:r>
      <w:r w:rsidR="00DC6E57">
        <w:rPr>
          <w:rFonts w:eastAsia="MS Mincho"/>
        </w:rPr>
        <w:t xml:space="preserve"> </w:t>
      </w:r>
      <w:r>
        <w:rPr>
          <w:rFonts w:eastAsia="MS Mincho"/>
        </w:rPr>
        <w:t>load</w:t>
      </w:r>
      <w:r w:rsidR="009360F1" w:rsidRPr="001421C3">
        <w:rPr>
          <w:rFonts w:eastAsia="MS Mincho"/>
        </w:rPr>
        <w:t xml:space="preserve"> shapes used by Gagnon and </w:t>
      </w:r>
      <w:r w:rsidR="009360F1">
        <w:rPr>
          <w:rFonts w:eastAsia="MS Mincho"/>
        </w:rPr>
        <w:t xml:space="preserve">Cole </w:t>
      </w:r>
      <w:r w:rsidR="009360F1">
        <w:rPr>
          <w:rFonts w:eastAsia="MS Mincho"/>
        </w:rPr>
        <w:fldChar w:fldCharType="begin"/>
      </w:r>
      <w:r w:rsidR="00340934">
        <w:rPr>
          <w:rFonts w:eastAsia="MS Mincho"/>
        </w:rPr>
        <w:instrText xml:space="preserve"> ADDIN EN.CITE &lt;EndNote&gt;&lt;Cite&gt;&lt;Author&gt;Gagnon&lt;/Author&gt;&lt;Year&gt;2022&lt;/Year&gt;&lt;RecNum&gt;10&lt;/RecNum&gt;&lt;DisplayText&gt;[11]&lt;/DisplayText&gt;&lt;record&gt;&lt;rec-number&gt;10&lt;/rec-number&gt;&lt;foreign-keys&gt;&lt;key app="EN" db-id="0t5529r5t9fw5eeevs6pvsf7zetpxrvxx2we" timestamp="1682834794"&gt;10&lt;/key&gt;&lt;/foreign-keys&gt;&lt;ref-type name="Journal Article"&gt;17&lt;/ref-type&gt;&lt;contributors&gt;&lt;authors&gt;&lt;author&gt;Gagnon, Pieter&lt;/author&gt;&lt;author&gt;Cole, Wesley&lt;/author&gt;&lt;/authors&gt;&lt;/contributors&gt;&lt;titles&gt;&lt;title&gt;Planning for the evolution of the electric grid with a long-run marginal emission rate&lt;/title&gt;&lt;secondary-title&gt;Iscience&lt;/secondary-title&gt;&lt;/titles&gt;&lt;periodical&gt;&lt;full-title&gt;Iscience&lt;/full-title&gt;&lt;/periodical&gt;&lt;pages&gt;103915&lt;/pages&gt;&lt;volume&gt;25&lt;/volume&gt;&lt;number&gt;3&lt;/number&gt;&lt;dates&gt;&lt;year&gt;2022&lt;/year&gt;&lt;/dates&gt;&lt;isbn&gt;2589-0042&lt;/isbn&gt;&lt;urls&gt;&lt;/urls&gt;&lt;/record&gt;&lt;/Cite&gt;&lt;/EndNote&gt;</w:instrText>
      </w:r>
      <w:r w:rsidR="009360F1">
        <w:rPr>
          <w:rFonts w:eastAsia="MS Mincho"/>
        </w:rPr>
        <w:fldChar w:fldCharType="separate"/>
      </w:r>
      <w:r w:rsidR="00340934">
        <w:rPr>
          <w:rFonts w:eastAsia="MS Mincho"/>
          <w:noProof/>
        </w:rPr>
        <w:t>[11]</w:t>
      </w:r>
      <w:r w:rsidR="009360F1">
        <w:rPr>
          <w:rFonts w:eastAsia="MS Mincho"/>
        </w:rPr>
        <w:fldChar w:fldCharType="end"/>
      </w:r>
      <w:r>
        <w:rPr>
          <w:rFonts w:eastAsia="MS Mincho"/>
        </w:rPr>
        <w:t xml:space="preserve"> and their effects on </w:t>
      </w:r>
      <w:r w:rsidR="00044AD0">
        <w:rPr>
          <w:rFonts w:eastAsia="MS Mincho"/>
        </w:rPr>
        <w:t xml:space="preserve">projected </w:t>
      </w:r>
      <w:r>
        <w:rPr>
          <w:rFonts w:eastAsia="MS Mincho"/>
        </w:rPr>
        <w:t>adoption of el</w:t>
      </w:r>
      <w:r w:rsidR="0045270B">
        <w:rPr>
          <w:rFonts w:eastAsia="MS Mincho"/>
        </w:rPr>
        <w:t>ectricity generating technology</w:t>
      </w:r>
    </w:p>
    <w:p w14:paraId="3B4BC1BA" w14:textId="65E030FD" w:rsidR="00035E1D" w:rsidRPr="000E647C" w:rsidRDefault="00035E1D" w:rsidP="00035E1D">
      <w:pPr>
        <w:pStyle w:val="Heading2"/>
      </w:pPr>
      <w:r>
        <w:t>Challenge of including demand management in resource planning</w:t>
      </w:r>
    </w:p>
    <w:p w14:paraId="51342BE0" w14:textId="3D73F0DC" w:rsidR="00F165B8" w:rsidRDefault="00146578" w:rsidP="00F165B8">
      <w:pPr>
        <w:rPr>
          <w:rFonts w:eastAsia="MS Mincho"/>
        </w:rPr>
      </w:pPr>
      <w:r>
        <w:rPr>
          <w:rFonts w:eastAsia="MS Mincho"/>
        </w:rPr>
        <w:t>Because demand projections are central to resource planning</w:t>
      </w:r>
      <w:r w:rsidR="006D7807">
        <w:rPr>
          <w:rFonts w:eastAsia="MS Mincho"/>
        </w:rPr>
        <w:t xml:space="preserve"> (as illustrated graphically in Fig. 5)</w:t>
      </w:r>
      <w:r>
        <w:rPr>
          <w:rFonts w:eastAsia="MS Mincho"/>
        </w:rPr>
        <w:t>, the lag-time between demand</w:t>
      </w:r>
      <w:r w:rsidR="006D7807">
        <w:rPr>
          <w:rFonts w:eastAsia="MS Mincho"/>
        </w:rPr>
        <w:t>-</w:t>
      </w:r>
      <w:r>
        <w:rPr>
          <w:rFonts w:eastAsia="MS Mincho"/>
        </w:rPr>
        <w:t>management program approvals compared to resource additions can have a major impact on resource acquisition.  The historical demand profiles, as a function of season and time of day, have been shaped by the electricity supply</w:t>
      </w:r>
      <w:r w:rsidR="009D2189">
        <w:rPr>
          <w:rFonts w:eastAsia="MS Mincho"/>
        </w:rPr>
        <w:t xml:space="preserve"> and costs</w:t>
      </w:r>
      <w:r>
        <w:rPr>
          <w:rFonts w:eastAsia="MS Mincho"/>
        </w:rPr>
        <w:t xml:space="preserve">.  Historically, this supply has been a “baseload” system that at one time was mostly coal in </w:t>
      </w:r>
      <w:r w:rsidR="00AC7586">
        <w:rPr>
          <w:rFonts w:eastAsia="MS Mincho"/>
        </w:rPr>
        <w:t>many places</w:t>
      </w:r>
      <w:r>
        <w:rPr>
          <w:rFonts w:eastAsia="MS Mincho"/>
        </w:rPr>
        <w:t xml:space="preserve">. The demand profile </w:t>
      </w:r>
      <w:r w:rsidR="009D2189">
        <w:rPr>
          <w:rFonts w:eastAsia="MS Mincho"/>
        </w:rPr>
        <w:t xml:space="preserve">also </w:t>
      </w:r>
      <w:r>
        <w:rPr>
          <w:rFonts w:eastAsia="MS Mincho"/>
        </w:rPr>
        <w:t xml:space="preserve">depends on the relative use of gas and electrical heating, air-conditioning, building designs and building codes, mostly gasoline-driven transportation, commuting patterns, and industrial power use.  </w:t>
      </w:r>
      <w:proofErr w:type="gramStart"/>
      <w:r>
        <w:rPr>
          <w:rFonts w:eastAsia="MS Mincho"/>
        </w:rPr>
        <w:t>All of</w:t>
      </w:r>
      <w:proofErr w:type="gramEnd"/>
      <w:r>
        <w:rPr>
          <w:rFonts w:eastAsia="MS Mincho"/>
        </w:rPr>
        <w:t xml:space="preserve"> these factors will be rapidly changing in the near future to meet decarbonization goals.  The traditional baseload power system had excess capacity of coal and gas at </w:t>
      </w:r>
      <w:r w:rsidR="00D54199">
        <w:rPr>
          <w:rFonts w:eastAsia="MS Mincho"/>
        </w:rPr>
        <w:t>night, which led to utility messaging to shift power use into night</w:t>
      </w:r>
      <w:r w:rsidR="00AC7586">
        <w:rPr>
          <w:rFonts w:eastAsia="MS Mincho"/>
        </w:rPr>
        <w:t>time</w:t>
      </w:r>
      <w:r w:rsidR="00D54199">
        <w:rPr>
          <w:rFonts w:eastAsia="MS Mincho"/>
        </w:rPr>
        <w:t>.</w:t>
      </w:r>
    </w:p>
    <w:p w14:paraId="59840B43" w14:textId="3FFE402B" w:rsidR="00146578" w:rsidRDefault="00AC7586" w:rsidP="00624E96">
      <w:pPr>
        <w:rPr>
          <w:rFonts w:eastAsia="MS Mincho"/>
        </w:rPr>
      </w:pPr>
      <w:r>
        <w:rPr>
          <w:rFonts w:eastAsia="MS Mincho"/>
        </w:rPr>
        <w:t>Past</w:t>
      </w:r>
      <w:r w:rsidR="00146578">
        <w:rPr>
          <w:rFonts w:eastAsia="MS Mincho"/>
        </w:rPr>
        <w:t xml:space="preserve"> practice of assuming that this demand shape is slowly varying in the future</w:t>
      </w:r>
      <w:r>
        <w:rPr>
          <w:rFonts w:eastAsia="MS Mincho"/>
        </w:rPr>
        <w:t xml:space="preserve"> has been a functional and practical approach in the past. Such an approach is currently</w:t>
      </w:r>
      <w:r w:rsidR="00146578">
        <w:rPr>
          <w:rFonts w:eastAsia="MS Mincho"/>
        </w:rPr>
        <w:t xml:space="preserve"> evidenced by recent </w:t>
      </w:r>
      <w:r w:rsidR="00953FC2">
        <w:rPr>
          <w:rFonts w:eastAsia="MS Mincho"/>
        </w:rPr>
        <w:t>resource plans and proposed demand</w:t>
      </w:r>
      <w:r w:rsidR="009315C6">
        <w:rPr>
          <w:rFonts w:eastAsia="MS Mincho"/>
        </w:rPr>
        <w:t>-</w:t>
      </w:r>
      <w:r w:rsidR="00953FC2">
        <w:rPr>
          <w:rFonts w:eastAsia="MS Mincho"/>
        </w:rPr>
        <w:t>management plan</w:t>
      </w:r>
      <w:r w:rsidR="005077AC">
        <w:rPr>
          <w:rFonts w:eastAsia="MS Mincho"/>
        </w:rPr>
        <w:t>s</w:t>
      </w:r>
      <w:r w:rsidR="00953FC2">
        <w:rPr>
          <w:rFonts w:eastAsia="MS Mincho"/>
        </w:rPr>
        <w:t xml:space="preserve"> in Colorado</w:t>
      </w:r>
      <w:r w:rsidR="00946D71">
        <w:rPr>
          <w:rFonts w:eastAsia="MS Mincho"/>
        </w:rPr>
        <w:t xml:space="preserve"> </w:t>
      </w:r>
      <w:r w:rsidR="00946D71">
        <w:rPr>
          <w:rFonts w:eastAsia="MS Mincho"/>
        </w:rPr>
        <w:fldChar w:fldCharType="begin"/>
      </w:r>
      <w:r w:rsidR="00624E96">
        <w:rPr>
          <w:rFonts w:eastAsia="MS Mincho"/>
        </w:rPr>
        <w:instrText xml:space="preserve"> ADDIN EN.CITE &lt;EndNote&gt;&lt;Cite&gt;&lt;Year&gt;July 2022 &lt;/Year&gt;&lt;RecNum&gt;22&lt;/RecNum&gt;&lt;DisplayText&gt;[26, 27]&lt;/DisplayText&gt;&lt;record&gt;&lt;rec-number&gt;22&lt;/rec-number&gt;&lt;foreign-keys&gt;&lt;key app="EN" db-id="0t5529r5t9fw5eeevs6pvsf7zetpxrvxx2we" timestamp="1682960255"&gt;22&lt;/key&gt;&lt;/foreign-keys&gt;&lt;ref-type name="Journal Article"&gt;17&lt;/ref-type&gt;&lt;contributors&gt;&lt;/contributors&gt;&lt;titles&gt;&lt;title&gt;Direct Testimony of Jon T. Landrum, Proceeding number 22A-0309EG of the Colorado Public Utilities Commission (Unpublished).&lt;/title&gt;&lt;/titles&gt;&lt;pages&gt;21&lt;/pages&gt;&lt;dates&gt;&lt;year&gt;July 2022 &lt;/year&gt;&lt;/dates&gt;&lt;urls&gt;&lt;/urls&gt;&lt;/record&gt;&lt;/Cite&gt;&lt;Cite&gt;&lt;Year&gt;July 2022&lt;/Year&gt;&lt;RecNum&gt;21&lt;/RecNum&gt;&lt;record&gt;&lt;rec-number&gt;21&lt;/rec-number&gt;&lt;foreign-keys&gt;&lt;key app="EN" db-id="0t5529r5t9fw5eeevs6pvsf7zetpxrvxx2we" timestamp="1682960056"&gt;21&lt;/key&gt;&lt;/foreign-keys&gt;&lt;ref-type name="Unpublished Work"&gt;34&lt;/ref-type&gt;&lt;contributors&gt;&lt;/contributors&gt;&lt;titles&gt;&lt;title&gt;Direct Testimony of Ryan L Bruers, Proceeding number 22A-0309EG of the Colorado Public Utilities Commission (Unpublished)&lt;/title&gt;&lt;/titles&gt;&lt;pages&gt;28&lt;/pages&gt;&lt;dates&gt;&lt;year&gt;July 2022&lt;/year&gt;&lt;/dates&gt;&lt;work-type&gt; Unpublished&lt;/work-type&gt;&lt;urls&gt;&lt;/urls&gt;&lt;/record&gt;&lt;/Cite&gt;&lt;/EndNote&gt;</w:instrText>
      </w:r>
      <w:r w:rsidR="00946D71">
        <w:rPr>
          <w:rFonts w:eastAsia="MS Mincho"/>
        </w:rPr>
        <w:fldChar w:fldCharType="separate"/>
      </w:r>
      <w:r w:rsidR="00624E96">
        <w:rPr>
          <w:rFonts w:eastAsia="MS Mincho"/>
          <w:noProof/>
        </w:rPr>
        <w:t>[26, 27]</w:t>
      </w:r>
      <w:r w:rsidR="00946D71">
        <w:rPr>
          <w:rFonts w:eastAsia="MS Mincho"/>
        </w:rPr>
        <w:fldChar w:fldCharType="end"/>
      </w:r>
      <w:r>
        <w:rPr>
          <w:rFonts w:eastAsia="MS Mincho"/>
        </w:rPr>
        <w:t>. The lack of coordination between demand</w:t>
      </w:r>
      <w:r w:rsidR="009315C6">
        <w:rPr>
          <w:rFonts w:eastAsia="MS Mincho"/>
        </w:rPr>
        <w:t>-</w:t>
      </w:r>
      <w:r>
        <w:rPr>
          <w:rFonts w:eastAsia="MS Mincho"/>
        </w:rPr>
        <w:t>management planning and resource planning</w:t>
      </w:r>
      <w:r w:rsidR="007E22AB">
        <w:rPr>
          <w:rFonts w:eastAsia="MS Mincho"/>
        </w:rPr>
        <w:t xml:space="preserve"> </w:t>
      </w:r>
      <w:r w:rsidR="00953FC2">
        <w:rPr>
          <w:rFonts w:eastAsia="MS Mincho"/>
        </w:rPr>
        <w:t xml:space="preserve">has major implications </w:t>
      </w:r>
      <w:r w:rsidR="009315C6">
        <w:rPr>
          <w:rFonts w:eastAsia="MS Mincho"/>
        </w:rPr>
        <w:t>on</w:t>
      </w:r>
      <w:r w:rsidR="00953FC2">
        <w:rPr>
          <w:rFonts w:eastAsia="MS Mincho"/>
        </w:rPr>
        <w:t xml:space="preserve"> resource planning</w:t>
      </w:r>
      <w:r w:rsidR="007E22AB">
        <w:rPr>
          <w:rFonts w:eastAsia="MS Mincho"/>
        </w:rPr>
        <w:t xml:space="preserve">. </w:t>
      </w:r>
      <w:r w:rsidR="00953FC2">
        <w:rPr>
          <w:rFonts w:eastAsia="MS Mincho"/>
        </w:rPr>
        <w:t xml:space="preserve">Simply put, if historical seasonal and daily demand profiles are assumed into the future, then the capacity-expansion models will essentially </w:t>
      </w:r>
      <w:r w:rsidR="009D2189">
        <w:rPr>
          <w:rFonts w:eastAsia="MS Mincho"/>
        </w:rPr>
        <w:t>“</w:t>
      </w:r>
      <w:r w:rsidR="00953FC2">
        <w:rPr>
          <w:rFonts w:eastAsia="MS Mincho"/>
        </w:rPr>
        <w:t>choose</w:t>
      </w:r>
      <w:r w:rsidR="009D2189">
        <w:rPr>
          <w:rFonts w:eastAsia="MS Mincho"/>
        </w:rPr>
        <w:t>”</w:t>
      </w:r>
      <w:r w:rsidR="00953FC2">
        <w:rPr>
          <w:rFonts w:eastAsia="MS Mincho"/>
        </w:rPr>
        <w:t xml:space="preserve"> a resource mix that can emulate the coal and gas plants that are being retired.  There are several mechanisms in the apparently objective resource planning that create this effect.  If </w:t>
      </w:r>
      <w:r w:rsidR="009D2189">
        <w:rPr>
          <w:rFonts w:eastAsia="MS Mincho"/>
        </w:rPr>
        <w:t>the</w:t>
      </w:r>
      <w:r w:rsidR="00953FC2">
        <w:rPr>
          <w:rFonts w:eastAsia="MS Mincho"/>
        </w:rPr>
        <w:t xml:space="preserve"> projection is that 80% of EV charging for the next 30 years is at night, then </w:t>
      </w:r>
      <w:r w:rsidR="00A90E5B">
        <w:rPr>
          <w:rFonts w:eastAsia="MS Mincho"/>
        </w:rPr>
        <w:t>resource planning</w:t>
      </w:r>
      <w:r w:rsidR="00953FC2">
        <w:rPr>
          <w:rFonts w:eastAsia="MS Mincho"/>
        </w:rPr>
        <w:t xml:space="preserve"> will not </w:t>
      </w:r>
      <w:r w:rsidR="00A90E5B">
        <w:rPr>
          <w:rFonts w:eastAsia="MS Mincho"/>
        </w:rPr>
        <w:t xml:space="preserve">select </w:t>
      </w:r>
      <w:r w:rsidR="008A5F7E">
        <w:rPr>
          <w:rFonts w:eastAsia="MS Mincho"/>
        </w:rPr>
        <w:t>PV</w:t>
      </w:r>
      <w:r w:rsidR="00953FC2">
        <w:rPr>
          <w:rFonts w:eastAsia="MS Mincho"/>
        </w:rPr>
        <w:t xml:space="preserve"> to meet this load</w:t>
      </w:r>
      <w:r w:rsidR="00946D71">
        <w:rPr>
          <w:rFonts w:eastAsia="MS Mincho"/>
        </w:rPr>
        <w:t xml:space="preserve"> </w:t>
      </w:r>
      <w:r w:rsidR="00946D71">
        <w:rPr>
          <w:rFonts w:eastAsia="MS Mincho"/>
        </w:rPr>
        <w:fldChar w:fldCharType="begin"/>
      </w:r>
      <w:r w:rsidR="00624E96">
        <w:rPr>
          <w:rFonts w:eastAsia="MS Mincho"/>
        </w:rPr>
        <w:instrText xml:space="preserve"> ADDIN EN.CITE &lt;EndNote&gt;&lt;Cite&gt;&lt;Author&gt;Sinton&lt;/Author&gt;&lt;Year&gt;2022&lt;/Year&gt;&lt;RecNum&gt;20&lt;/RecNum&gt;&lt;DisplayText&gt;[25]&lt;/DisplayText&gt;&lt;record&gt;&lt;rec-number&gt;20&lt;/rec-number&gt;&lt;foreign-keys&gt;&lt;key app="EN" db-id="0t5529r5t9fw5eeevs6pvsf7zetpxrvxx2we" timestamp="1682959986"&gt;20&lt;/key&gt;&lt;/foreign-keys&gt;&lt;ref-type name="Conference Proceedings"&gt;10&lt;/ref-type&gt;&lt;contributors&gt;&lt;authors&gt;&lt;author&gt;Sinton, Ronald A&lt;/author&gt;&lt;/authors&gt;&lt;/contributors&gt;&lt;titles&gt;&lt;title&gt;Observations On A Colorado Electric-Utility Resource Plan For Increasing Renewables From 55% to 80% By 2030&lt;/title&gt;&lt;secondary-title&gt;2022 IEEE 49th Photovoltaics Specialists Conference (PVSC)&lt;/secondary-title&gt;&lt;/titles&gt;&lt;pages&gt;0925-0929&lt;/pages&gt;&lt;dates&gt;&lt;year&gt;2022&lt;/year&gt;&lt;/dates&gt;&lt;publisher&gt;IEEE&lt;/publisher&gt;&lt;isbn&gt;1728161177&lt;/isbn&gt;&lt;urls&gt;&lt;/urls&gt;&lt;/record&gt;&lt;/Cite&gt;&lt;/EndNote&gt;</w:instrText>
      </w:r>
      <w:r w:rsidR="00946D71">
        <w:rPr>
          <w:rFonts w:eastAsia="MS Mincho"/>
        </w:rPr>
        <w:fldChar w:fldCharType="separate"/>
      </w:r>
      <w:r w:rsidR="00624E96">
        <w:rPr>
          <w:rFonts w:eastAsia="MS Mincho"/>
          <w:noProof/>
        </w:rPr>
        <w:t>[25]</w:t>
      </w:r>
      <w:r w:rsidR="00946D71">
        <w:rPr>
          <w:rFonts w:eastAsia="MS Mincho"/>
        </w:rPr>
        <w:fldChar w:fldCharType="end"/>
      </w:r>
      <w:r w:rsidR="00953FC2">
        <w:rPr>
          <w:rFonts w:eastAsia="MS Mincho"/>
        </w:rPr>
        <w:t>.  More subtle mechanisms also exist.  The calculation of effective load-carrying capacity</w:t>
      </w:r>
      <w:r w:rsidR="005077AC">
        <w:rPr>
          <w:rFonts w:eastAsia="MS Mincho"/>
        </w:rPr>
        <w:t>, ELCC,</w:t>
      </w:r>
      <w:r w:rsidR="00953FC2">
        <w:rPr>
          <w:rFonts w:eastAsia="MS Mincho"/>
        </w:rPr>
        <w:t xml:space="preserve"> is based on a loss-of-load-probability calculation using historical demand profiles</w:t>
      </w:r>
      <w:r w:rsidR="00946D71">
        <w:rPr>
          <w:rFonts w:eastAsia="MS Mincho"/>
        </w:rPr>
        <w:t xml:space="preserve"> </w:t>
      </w:r>
      <w:r w:rsidR="00946D71">
        <w:rPr>
          <w:rFonts w:eastAsia="MS Mincho"/>
        </w:rPr>
        <w:fldChar w:fldCharType="begin"/>
      </w:r>
      <w:r w:rsidR="00624E96">
        <w:rPr>
          <w:rFonts w:eastAsia="MS Mincho"/>
        </w:rPr>
        <w:instrText xml:space="preserve"> ADDIN EN.CITE &lt;EndNote&gt;&lt;Cite&gt;&lt;Year&gt;May 2021&lt;/Year&gt;&lt;RecNum&gt;23&lt;/RecNum&gt;&lt;DisplayText&gt;[28, 29]&lt;/DisplayText&gt;&lt;record&gt;&lt;rec-number&gt;23&lt;/rec-number&gt;&lt;foreign-keys&gt;&lt;key app="EN" db-id="0t5529r5t9fw5eeevs6pvsf7zetpxrvxx2we" timestamp="1682960359"&gt;23&lt;/key&gt;&lt;/foreign-keys&gt;&lt;ref-type name="Unpublished Work"&gt;34&lt;/ref-type&gt;&lt;contributors&gt;&lt;/contributors&gt;&lt;titles&gt;&lt;title&gt;Alice K Jackson Appendix E_ELCC Study Report, Colorado PUC Proceeding number 21A-0141E of the Colorado Public Utilities (Unpublished).&lt;/title&gt;&lt;/titles&gt;&lt;dates&gt;&lt;year&gt;May 2021&lt;/year&gt;&lt;/dates&gt;&lt;urls&gt;&lt;/urls&gt;&lt;/record&gt;&lt;/Cite&gt;&lt;Cite&gt;&lt;Author&gt;Parks&lt;/Author&gt;&lt;Year&gt;2019&lt;/Year&gt;&lt;RecNum&gt;24&lt;/RecNum&gt;&lt;record&gt;&lt;rec-number&gt;24&lt;/rec-number&gt;&lt;foreign-keys&gt;&lt;key app="EN" db-id="0t5529r5t9fw5eeevs6pvsf7zetpxrvxx2we" timestamp="1682960385"&gt;24&lt;/key&gt;&lt;/foreign-keys&gt;&lt;ref-type name="Journal Article"&gt;17&lt;/ref-type&gt;&lt;contributors&gt;&lt;authors&gt;&lt;author&gt;Parks, Keith&lt;/author&gt;&lt;/authors&gt;&lt;/contributors&gt;&lt;titles&gt;&lt;title&gt;Declining capacity credit for energy storage and demand response with increased penetration&lt;/title&gt;&lt;secondary-title&gt;IEEE Transactions on Power Systems&lt;/secondary-title&gt;&lt;/titles&gt;&lt;periodical&gt;&lt;full-title&gt;IEEE Transactions on Power Systems&lt;/full-title&gt;&lt;/periodical&gt;&lt;pages&gt;4542-4546&lt;/pages&gt;&lt;volume&gt;34&lt;/volume&gt;&lt;number&gt;6&lt;/number&gt;&lt;dates&gt;&lt;year&gt;2019&lt;/year&gt;&lt;/dates&gt;&lt;isbn&gt;0885-8950&lt;/isbn&gt;&lt;urls&gt;&lt;/urls&gt;&lt;/record&gt;&lt;/Cite&gt;&lt;/EndNote&gt;</w:instrText>
      </w:r>
      <w:r w:rsidR="00946D71">
        <w:rPr>
          <w:rFonts w:eastAsia="MS Mincho"/>
        </w:rPr>
        <w:fldChar w:fldCharType="separate"/>
      </w:r>
      <w:r w:rsidR="00624E96">
        <w:rPr>
          <w:rFonts w:eastAsia="MS Mincho"/>
          <w:noProof/>
        </w:rPr>
        <w:t>[28, 29]</w:t>
      </w:r>
      <w:r w:rsidR="00946D71">
        <w:rPr>
          <w:rFonts w:eastAsia="MS Mincho"/>
        </w:rPr>
        <w:fldChar w:fldCharType="end"/>
      </w:r>
      <w:r w:rsidR="00953FC2">
        <w:rPr>
          <w:rFonts w:eastAsia="MS Mincho"/>
        </w:rPr>
        <w:t>. This also has the effect of valuing resources for how they would have performed in the historical grid</w:t>
      </w:r>
      <w:r w:rsidR="009D2189">
        <w:rPr>
          <w:rFonts w:eastAsia="MS Mincho"/>
        </w:rPr>
        <w:t xml:space="preserve"> with the historical demand profiles</w:t>
      </w:r>
      <w:r w:rsidR="00953FC2">
        <w:rPr>
          <w:rFonts w:eastAsia="MS Mincho"/>
        </w:rPr>
        <w:t>, as opposed to</w:t>
      </w:r>
      <w:r w:rsidR="005077AC">
        <w:rPr>
          <w:rFonts w:eastAsia="MS Mincho"/>
        </w:rPr>
        <w:t xml:space="preserve"> how they could perform in</w:t>
      </w:r>
      <w:r w:rsidR="00953FC2">
        <w:rPr>
          <w:rFonts w:eastAsia="MS Mincho"/>
        </w:rPr>
        <w:t xml:space="preserve"> the future grid</w:t>
      </w:r>
      <w:r w:rsidR="005077AC">
        <w:rPr>
          <w:rFonts w:eastAsia="MS Mincho"/>
        </w:rPr>
        <w:t xml:space="preserve"> </w:t>
      </w:r>
      <w:r w:rsidR="009D2189">
        <w:rPr>
          <w:rFonts w:eastAsia="MS Mincho"/>
        </w:rPr>
        <w:t>that is increasing</w:t>
      </w:r>
      <w:r w:rsidR="00390B67">
        <w:rPr>
          <w:rFonts w:eastAsia="MS Mincho"/>
        </w:rPr>
        <w:t>ly</w:t>
      </w:r>
      <w:r w:rsidR="009D2189">
        <w:rPr>
          <w:rFonts w:eastAsia="MS Mincho"/>
        </w:rPr>
        <w:t xml:space="preserve"> trending towards renewables. </w:t>
      </w:r>
    </w:p>
    <w:p w14:paraId="39B0EFD8" w14:textId="136519B8" w:rsidR="00C14C3A" w:rsidRDefault="009D2189" w:rsidP="000E647C">
      <w:pPr>
        <w:rPr>
          <w:rFonts w:eastAsia="MS Mincho"/>
        </w:rPr>
      </w:pPr>
      <w:r>
        <w:rPr>
          <w:rFonts w:eastAsia="MS Mincho"/>
        </w:rPr>
        <w:t xml:space="preserve">Another effect can be </w:t>
      </w:r>
      <w:r>
        <w:rPr>
          <w:rFonts w:eastAsia="MS Mincho"/>
          <w:color w:val="000000"/>
        </w:rPr>
        <w:t xml:space="preserve">seen in </w:t>
      </w:r>
      <w:r w:rsidR="00EA7830">
        <w:rPr>
          <w:rFonts w:eastAsia="MS Mincho"/>
          <w:color w:val="000000"/>
        </w:rPr>
        <w:t>F</w:t>
      </w:r>
      <w:r>
        <w:rPr>
          <w:rFonts w:eastAsia="MS Mincho"/>
          <w:color w:val="000000"/>
        </w:rPr>
        <w:t xml:space="preserve">ig. 2, for the case of </w:t>
      </w:r>
      <w:r w:rsidR="00575580">
        <w:rPr>
          <w:rFonts w:eastAsia="MS Mincho"/>
          <w:color w:val="000000"/>
        </w:rPr>
        <w:t xml:space="preserve">Colorado </w:t>
      </w:r>
      <w:r>
        <w:rPr>
          <w:rFonts w:eastAsia="MS Mincho"/>
          <w:color w:val="000000"/>
        </w:rPr>
        <w:t>2030</w:t>
      </w:r>
      <w:r w:rsidR="00575580">
        <w:rPr>
          <w:rFonts w:eastAsia="MS Mincho"/>
          <w:color w:val="000000"/>
        </w:rPr>
        <w:t xml:space="preserve"> or California 2022.</w:t>
      </w:r>
      <w:r>
        <w:rPr>
          <w:rFonts w:eastAsia="MS Mincho"/>
          <w:color w:val="000000"/>
        </w:rPr>
        <w:t xml:space="preserve"> When there is 25% </w:t>
      </w:r>
      <w:r w:rsidR="00575580">
        <w:rPr>
          <w:rFonts w:eastAsia="MS Mincho"/>
          <w:color w:val="000000"/>
        </w:rPr>
        <w:t xml:space="preserve">and 27% of electricity supplied by </w:t>
      </w:r>
      <w:r w:rsidR="008A5F7E">
        <w:rPr>
          <w:rFonts w:eastAsia="MS Mincho"/>
          <w:color w:val="000000"/>
        </w:rPr>
        <w:t>PV</w:t>
      </w:r>
      <w:r w:rsidR="00575580">
        <w:rPr>
          <w:rFonts w:eastAsia="MS Mincho"/>
          <w:color w:val="000000"/>
        </w:rPr>
        <w:t xml:space="preserve"> for Colorado and California, respectively,</w:t>
      </w:r>
      <w:r>
        <w:rPr>
          <w:rFonts w:eastAsia="MS Mincho"/>
          <w:color w:val="000000"/>
        </w:rPr>
        <w:t xml:space="preserve"> renewables saturate</w:t>
      </w:r>
      <w:r>
        <w:rPr>
          <w:rFonts w:eastAsia="MS Mincho"/>
        </w:rPr>
        <w:t xml:space="preserve"> at meeting demand during daytime. This is an inherent limit on the amount of </w:t>
      </w:r>
      <w:r w:rsidR="008A5F7E">
        <w:rPr>
          <w:rFonts w:eastAsia="MS Mincho"/>
        </w:rPr>
        <w:t>PV</w:t>
      </w:r>
      <w:r>
        <w:rPr>
          <w:rFonts w:eastAsia="MS Mincho"/>
        </w:rPr>
        <w:t xml:space="preserve"> that the existing </w:t>
      </w:r>
      <w:r w:rsidR="00CE5F36">
        <w:rPr>
          <w:rFonts w:eastAsia="MS Mincho"/>
        </w:rPr>
        <w:t xml:space="preserve">resource-planning process </w:t>
      </w:r>
      <w:r>
        <w:rPr>
          <w:rFonts w:eastAsia="MS Mincho"/>
        </w:rPr>
        <w:t xml:space="preserve">will </w:t>
      </w:r>
      <w:r w:rsidR="00CE5F36">
        <w:rPr>
          <w:rFonts w:eastAsia="MS Mincho"/>
        </w:rPr>
        <w:t>“</w:t>
      </w:r>
      <w:r>
        <w:rPr>
          <w:rFonts w:eastAsia="MS Mincho"/>
        </w:rPr>
        <w:t>choose</w:t>
      </w:r>
      <w:r w:rsidR="00CE5F36">
        <w:rPr>
          <w:rFonts w:eastAsia="MS Mincho"/>
        </w:rPr>
        <w:t>”</w:t>
      </w:r>
      <w:r>
        <w:rPr>
          <w:rFonts w:eastAsia="MS Mincho"/>
        </w:rPr>
        <w:t>.  However, if there are massive new loads</w:t>
      </w:r>
      <w:r w:rsidR="00CE5F36">
        <w:rPr>
          <w:rFonts w:eastAsia="MS Mincho"/>
        </w:rPr>
        <w:t xml:space="preserve"> due to</w:t>
      </w:r>
      <w:r>
        <w:rPr>
          <w:rFonts w:eastAsia="MS Mincho"/>
        </w:rPr>
        <w:t xml:space="preserve"> decarboniz</w:t>
      </w:r>
      <w:r w:rsidR="00AC7586">
        <w:rPr>
          <w:rFonts w:eastAsia="MS Mincho"/>
        </w:rPr>
        <w:t>ation of</w:t>
      </w:r>
      <w:r>
        <w:rPr>
          <w:rFonts w:eastAsia="MS Mincho"/>
        </w:rPr>
        <w:t xml:space="preserve"> the rest of the economy</w:t>
      </w:r>
      <w:r w:rsidR="00CE5F36">
        <w:rPr>
          <w:rFonts w:eastAsia="MS Mincho"/>
        </w:rPr>
        <w:t xml:space="preserve">, </w:t>
      </w:r>
      <w:r>
        <w:rPr>
          <w:rFonts w:eastAsia="MS Mincho"/>
        </w:rPr>
        <w:t>then</w:t>
      </w:r>
      <w:r w:rsidR="00CE5F36">
        <w:rPr>
          <w:rFonts w:eastAsia="MS Mincho"/>
        </w:rPr>
        <w:t xml:space="preserve"> this</w:t>
      </w:r>
      <w:r>
        <w:rPr>
          <w:rFonts w:eastAsia="MS Mincho"/>
        </w:rPr>
        <w:t xml:space="preserve"> upper bound on </w:t>
      </w:r>
      <w:r w:rsidR="008A5F7E">
        <w:rPr>
          <w:rFonts w:eastAsia="MS Mincho"/>
        </w:rPr>
        <w:t>PV</w:t>
      </w:r>
      <w:r>
        <w:rPr>
          <w:rFonts w:eastAsia="MS Mincho"/>
        </w:rPr>
        <w:t xml:space="preserve"> is removed.  This could be charging EVs during daytime, </w:t>
      </w:r>
      <w:r w:rsidR="005E2077">
        <w:rPr>
          <w:rFonts w:eastAsia="MS Mincho"/>
        </w:rPr>
        <w:t xml:space="preserve">shifting existing load from night into daytime, </w:t>
      </w:r>
      <w:r w:rsidR="00CE5F36">
        <w:rPr>
          <w:rFonts w:eastAsia="MS Mincho"/>
        </w:rPr>
        <w:t xml:space="preserve">producing hydrogen by electrolysis to first replace </w:t>
      </w:r>
      <w:r w:rsidR="00CE5F36">
        <w:rPr>
          <w:rFonts w:eastAsia="MS Mincho"/>
        </w:rPr>
        <w:lastRenderedPageBreak/>
        <w:t>fossil-fuel</w:t>
      </w:r>
      <w:r w:rsidR="00AC7586">
        <w:rPr>
          <w:rFonts w:eastAsia="MS Mincho"/>
        </w:rPr>
        <w:t>-</w:t>
      </w:r>
      <w:r w:rsidR="00CE5F36">
        <w:rPr>
          <w:rFonts w:eastAsia="MS Mincho"/>
        </w:rPr>
        <w:t>based hydrogen production and then expand this into renewable fuels and new industrial uses of hydrogen that replace CO</w:t>
      </w:r>
      <w:r w:rsidR="00CE5F36" w:rsidRPr="00031CB1">
        <w:rPr>
          <w:rFonts w:eastAsia="MS Mincho"/>
          <w:vertAlign w:val="subscript"/>
        </w:rPr>
        <w:t>2</w:t>
      </w:r>
      <w:r w:rsidR="00CE5F36">
        <w:rPr>
          <w:rFonts w:eastAsia="MS Mincho"/>
        </w:rPr>
        <w:t xml:space="preserve"> intensive processes. The implementation of </w:t>
      </w:r>
      <w:r w:rsidR="008A5F7E">
        <w:rPr>
          <w:rFonts w:eastAsia="MS Mincho"/>
        </w:rPr>
        <w:t>PV</w:t>
      </w:r>
      <w:r w:rsidR="00CE5F36">
        <w:rPr>
          <w:rFonts w:eastAsia="MS Mincho"/>
        </w:rPr>
        <w:t xml:space="preserve"> could be vastly underestimated in current planning</w:t>
      </w:r>
      <w:r w:rsidR="00AF5861">
        <w:rPr>
          <w:rFonts w:eastAsia="MS Mincho"/>
        </w:rPr>
        <w:t xml:space="preserve"> due to the assumptions that historical demand profiles are relevant to the future grids.</w:t>
      </w:r>
    </w:p>
    <w:p w14:paraId="53EDF787" w14:textId="228BED6E" w:rsidR="000E48FD" w:rsidRDefault="000E48FD" w:rsidP="000E647C">
      <w:pPr>
        <w:rPr>
          <w:rFonts w:eastAsia="MS Mincho"/>
        </w:rPr>
      </w:pPr>
      <w:r>
        <w:rPr>
          <w:rFonts w:eastAsia="MS Mincho"/>
        </w:rPr>
        <w:t>One conclusion that might come from these observations is that new methods for predicting demand profile—without extensive historical data—may be vital to the goal of developing optimal demand programs simultaneously with resource planning.</w:t>
      </w:r>
    </w:p>
    <w:p w14:paraId="6B3DC983" w14:textId="77777777" w:rsidR="00DD3B1C" w:rsidRPr="0013606F" w:rsidRDefault="00D65E3E" w:rsidP="00197F85">
      <w:pPr>
        <w:pStyle w:val="Heading2"/>
      </w:pPr>
      <w:r w:rsidRPr="0013606F">
        <w:t>Forward-looking demand response</w:t>
      </w:r>
    </w:p>
    <w:p w14:paraId="5F2F55E1" w14:textId="77777777" w:rsidR="00160528" w:rsidRDefault="00160528" w:rsidP="00D54199">
      <w:pPr>
        <w:rPr>
          <w:rFonts w:eastAsia="MS Mincho"/>
        </w:rPr>
      </w:pPr>
      <w:r>
        <w:rPr>
          <w:rFonts w:eastAsia="MS Mincho"/>
        </w:rPr>
        <w:t xml:space="preserve">Given the opportunity to use demand management to shape tomorrow’s resource planning, but the associated practical challenges, what is to be done? </w:t>
      </w:r>
    </w:p>
    <w:p w14:paraId="121376B1" w14:textId="0B0AD993" w:rsidR="00D65E3E" w:rsidRDefault="00D65E3E" w:rsidP="005E504A">
      <w:pPr>
        <w:rPr>
          <w:rFonts w:eastAsia="MS Mincho"/>
        </w:rPr>
      </w:pPr>
      <w:r>
        <w:rPr>
          <w:rFonts w:eastAsia="MS Mincho"/>
        </w:rPr>
        <w:t>The best forward</w:t>
      </w:r>
      <w:r w:rsidR="0024447E">
        <w:rPr>
          <w:rFonts w:eastAsia="MS Mincho"/>
        </w:rPr>
        <w:t>-</w:t>
      </w:r>
      <w:r>
        <w:rPr>
          <w:rFonts w:eastAsia="MS Mincho"/>
        </w:rPr>
        <w:t xml:space="preserve">looking demand response </w:t>
      </w:r>
      <w:r w:rsidR="0024447E">
        <w:rPr>
          <w:rFonts w:eastAsia="MS Mincho"/>
        </w:rPr>
        <w:t xml:space="preserve">would </w:t>
      </w:r>
      <w:r w:rsidR="00160528">
        <w:rPr>
          <w:rFonts w:eastAsia="MS Mincho"/>
        </w:rPr>
        <w:t>strive to</w:t>
      </w:r>
      <w:r>
        <w:rPr>
          <w:rFonts w:eastAsia="MS Mincho"/>
        </w:rPr>
        <w:t xml:space="preserve"> shift existing demand from night into daytime and </w:t>
      </w:r>
      <w:r w:rsidR="00160528">
        <w:rPr>
          <w:rFonts w:eastAsia="MS Mincho"/>
        </w:rPr>
        <w:t>guide</w:t>
      </w:r>
      <w:r>
        <w:rPr>
          <w:rFonts w:eastAsia="MS Mincho"/>
        </w:rPr>
        <w:t xml:space="preserve"> new demand (such as EV</w:t>
      </w:r>
      <w:r w:rsidR="00160528">
        <w:rPr>
          <w:rFonts w:eastAsia="MS Mincho"/>
        </w:rPr>
        <w:t xml:space="preserve"> charging</w:t>
      </w:r>
      <w:r>
        <w:rPr>
          <w:rFonts w:eastAsia="MS Mincho"/>
        </w:rPr>
        <w:t>) into daytime</w:t>
      </w:r>
      <w:r w:rsidR="00E81E22">
        <w:rPr>
          <w:rFonts w:eastAsia="MS Mincho"/>
        </w:rPr>
        <w:t xml:space="preserve">. </w:t>
      </w:r>
      <w:r>
        <w:rPr>
          <w:rFonts w:eastAsia="MS Mincho"/>
        </w:rPr>
        <w:t xml:space="preserve">This is the obvious choice for integrating </w:t>
      </w:r>
      <w:r w:rsidR="00160528">
        <w:rPr>
          <w:rFonts w:eastAsia="MS Mincho"/>
        </w:rPr>
        <w:t xml:space="preserve">solar </w:t>
      </w:r>
      <w:r>
        <w:rPr>
          <w:rFonts w:eastAsia="MS Mincho"/>
        </w:rPr>
        <w:t>PV, which</w:t>
      </w:r>
      <w:r w:rsidR="00160528">
        <w:rPr>
          <w:rFonts w:eastAsia="MS Mincho"/>
        </w:rPr>
        <w:t xml:space="preserve"> is anticipated to be the dominant new clean electricity resource in most places </w:t>
      </w:r>
      <w:r w:rsidR="00340934">
        <w:rPr>
          <w:rFonts w:eastAsia="MS Mincho"/>
        </w:rPr>
        <w:fldChar w:fldCharType="begin"/>
      </w:r>
      <w:r w:rsidR="00E9071B">
        <w:rPr>
          <w:rFonts w:eastAsia="MS Mincho"/>
        </w:rPr>
        <w:instrText xml:space="preserve"> ADDIN EN.CITE &lt;EndNote&gt;&lt;Cite&gt;&lt;Author&gt;Breyer&lt;/Author&gt;&lt;Year&gt;2017&lt;/Year&gt;&lt;RecNum&gt;33&lt;/RecNum&gt;&lt;DisplayText&gt;[14]&lt;/DisplayText&gt;&lt;record&gt;&lt;rec-number&gt;33&lt;/rec-number&gt;&lt;foreign-keys&gt;&lt;key app="EN" db-id="0t5529r5t9fw5eeevs6pvsf7zetpxrvxx2we" timestamp="1684312265"&gt;33&lt;/key&gt;&lt;/foreign-keys&gt;&lt;ref-type name="Journal Article"&gt;17&lt;/ref-type&gt;&lt;contributors&gt;&lt;authors&gt;&lt;author&gt;Breyer, Christian&lt;/author&gt;&lt;author&gt;Bogdanov, Dmitrii&lt;/author&gt;&lt;author&gt;Gulagi, Ashish&lt;/author&gt;&lt;author&gt;Aghahosseini, Arman&lt;/author&gt;&lt;author&gt;Barbosa, Larissa SNS&lt;/author&gt;&lt;author&gt;Koskinen, Otto&lt;/author&gt;&lt;author&gt;Barasa, Maulidi&lt;/author&gt;&lt;author&gt;Caldera, Upeksha&lt;/author&gt;&lt;author&gt;Afanasyeva, Svetlana&lt;/author&gt;&lt;author&gt;Child, Michael&lt;/author&gt;&lt;/authors&gt;&lt;/contributors&gt;&lt;titles&gt;&lt;title&gt;On the role of solar photovoltaics in global energy transition scenarios&lt;/title&gt;&lt;secondary-title&gt;Progress in Photovoltaics: Research and Applications&lt;/secondary-title&gt;&lt;/titles&gt;&lt;periodical&gt;&lt;full-title&gt;Progress in Photovoltaics: Research and Applications&lt;/full-title&gt;&lt;/periodical&gt;&lt;pages&gt;727-745&lt;/pages&gt;&lt;volume&gt;25&lt;/volume&gt;&lt;number&gt;8&lt;/number&gt;&lt;dates&gt;&lt;year&gt;2017&lt;/year&gt;&lt;/dates&gt;&lt;isbn&gt;1062-7995&lt;/isbn&gt;&lt;urls&gt;&lt;/urls&gt;&lt;/record&gt;&lt;/Cite&gt;&lt;/EndNote&gt;</w:instrText>
      </w:r>
      <w:r w:rsidR="00340934">
        <w:rPr>
          <w:rFonts w:eastAsia="MS Mincho"/>
        </w:rPr>
        <w:fldChar w:fldCharType="separate"/>
      </w:r>
      <w:r w:rsidR="00E9071B">
        <w:rPr>
          <w:rFonts w:eastAsia="MS Mincho"/>
          <w:noProof/>
        </w:rPr>
        <w:t>[14]</w:t>
      </w:r>
      <w:r w:rsidR="00340934">
        <w:rPr>
          <w:rFonts w:eastAsia="MS Mincho"/>
        </w:rPr>
        <w:fldChar w:fldCharType="end"/>
      </w:r>
      <w:r w:rsidR="00160528">
        <w:rPr>
          <w:rFonts w:eastAsia="MS Mincho"/>
        </w:rPr>
        <w:t xml:space="preserve">. Specifically, an example of rapid growth expected for </w:t>
      </w:r>
      <w:r w:rsidR="008A5F7E">
        <w:rPr>
          <w:rFonts w:eastAsia="MS Mincho"/>
        </w:rPr>
        <w:t>PV</w:t>
      </w:r>
      <w:r w:rsidR="00160528">
        <w:rPr>
          <w:rFonts w:eastAsia="MS Mincho"/>
        </w:rPr>
        <w:t xml:space="preserve"> is shown in</w:t>
      </w:r>
      <w:r>
        <w:rPr>
          <w:rFonts w:eastAsia="MS Mincho"/>
        </w:rPr>
        <w:t xml:space="preserve"> Fig. 1 </w:t>
      </w:r>
      <w:r w:rsidR="00160528">
        <w:rPr>
          <w:rFonts w:eastAsia="MS Mincho"/>
        </w:rPr>
        <w:t>for Colorado</w:t>
      </w:r>
      <w:r>
        <w:rPr>
          <w:rFonts w:eastAsia="MS Mincho"/>
        </w:rPr>
        <w:t xml:space="preserve">.  </w:t>
      </w:r>
      <w:r w:rsidR="00505A9F">
        <w:rPr>
          <w:rFonts w:eastAsia="MS Mincho"/>
        </w:rPr>
        <w:t xml:space="preserve">More difficult, but still possible, </w:t>
      </w:r>
      <w:r>
        <w:rPr>
          <w:rFonts w:eastAsia="MS Mincho"/>
        </w:rPr>
        <w:t>would be</w:t>
      </w:r>
      <w:r w:rsidR="00505A9F">
        <w:rPr>
          <w:rFonts w:eastAsia="MS Mincho"/>
        </w:rPr>
        <w:t xml:space="preserve"> </w:t>
      </w:r>
      <w:r>
        <w:rPr>
          <w:rFonts w:eastAsia="MS Mincho"/>
        </w:rPr>
        <w:t>to shift power use from calm nights (and days) to windy ones.</w:t>
      </w:r>
    </w:p>
    <w:p w14:paraId="1EEAFF8F" w14:textId="69A82BD7" w:rsidR="001168C1" w:rsidRPr="001A0656" w:rsidRDefault="00D65E3E" w:rsidP="001A0656">
      <w:pPr>
        <w:rPr>
          <w:rFonts w:eastAsia="MS Mincho"/>
        </w:rPr>
      </w:pPr>
      <w:r>
        <w:rPr>
          <w:rFonts w:eastAsia="MS Mincho"/>
        </w:rPr>
        <w:t xml:space="preserve">The </w:t>
      </w:r>
      <w:r w:rsidR="0005075A">
        <w:rPr>
          <w:rFonts w:eastAsia="MS Mincho"/>
        </w:rPr>
        <w:t>hourly projection of fossil-fuel intensity</w:t>
      </w:r>
      <w:r>
        <w:rPr>
          <w:rFonts w:eastAsia="MS Mincho"/>
        </w:rPr>
        <w:t>, shown for the 2023 data in Fig. 2</w:t>
      </w:r>
      <w:r w:rsidR="0005075A">
        <w:rPr>
          <w:rFonts w:eastAsia="MS Mincho"/>
        </w:rPr>
        <w:t>,</w:t>
      </w:r>
      <w:r>
        <w:rPr>
          <w:rFonts w:eastAsia="MS Mincho"/>
        </w:rPr>
        <w:t xml:space="preserve"> could be used to design a TOU schedule to accomplish the main </w:t>
      </w:r>
      <w:r w:rsidR="005639AD">
        <w:rPr>
          <w:rFonts w:eastAsia="MS Mincho"/>
        </w:rPr>
        <w:t>effect</w:t>
      </w:r>
      <w:r w:rsidR="00F72597">
        <w:rPr>
          <w:rFonts w:eastAsia="MS Mincho"/>
        </w:rPr>
        <w:t xml:space="preserve"> of</w:t>
      </w:r>
      <w:r w:rsidR="005639AD">
        <w:rPr>
          <w:rFonts w:eastAsia="MS Mincho"/>
        </w:rPr>
        <w:t xml:space="preserve"> the </w:t>
      </w:r>
      <w:r w:rsidR="00174DCC">
        <w:rPr>
          <w:rFonts w:eastAsia="MS Mincho"/>
        </w:rPr>
        <w:t>shifting demand towards</w:t>
      </w:r>
      <w:r w:rsidR="005639AD">
        <w:rPr>
          <w:rFonts w:eastAsia="MS Mincho"/>
        </w:rPr>
        <w:t xml:space="preserve"> daytime.  If the renewables day-</w:t>
      </w:r>
      <w:r w:rsidR="00EA7830">
        <w:rPr>
          <w:rFonts w:eastAsia="MS Mincho"/>
        </w:rPr>
        <w:t>a</w:t>
      </w:r>
      <w:r w:rsidR="005639AD">
        <w:rPr>
          <w:rFonts w:eastAsia="MS Mincho"/>
        </w:rPr>
        <w:t xml:space="preserve">head and week-ahead projections were available, they could be used to fine tune the choice of days (taking cloudy days into account) as well as provide a signal for </w:t>
      </w:r>
      <w:r w:rsidR="00EE7396">
        <w:rPr>
          <w:rFonts w:eastAsia="MS Mincho"/>
        </w:rPr>
        <w:t>times that</w:t>
      </w:r>
      <w:r w:rsidR="005639AD">
        <w:rPr>
          <w:rFonts w:eastAsia="MS Mincho"/>
        </w:rPr>
        <w:t xml:space="preserve"> would be windy.</w:t>
      </w:r>
    </w:p>
    <w:p w14:paraId="385AD163" w14:textId="77777777" w:rsidR="00DB791D" w:rsidRDefault="00DB791D" w:rsidP="0013606F">
      <w:pPr>
        <w:pStyle w:val="Heading1"/>
        <w:rPr>
          <w:color w:val="000000"/>
        </w:rPr>
      </w:pPr>
      <w:r>
        <w:rPr>
          <w:color w:val="000000"/>
        </w:rPr>
        <w:t>Conclusions</w:t>
      </w:r>
    </w:p>
    <w:p w14:paraId="4C05CE8A" w14:textId="02B2B914" w:rsidR="00481BFF" w:rsidRPr="00BF09B6" w:rsidRDefault="003050B0" w:rsidP="00BF09B6">
      <w:pPr>
        <w:rPr>
          <w:rFonts w:eastAsia="MS Mincho"/>
          <w:color w:val="000000"/>
        </w:rPr>
      </w:pPr>
      <w:r>
        <w:rPr>
          <w:rFonts w:eastAsia="MS Mincho"/>
          <w:color w:val="000000"/>
        </w:rPr>
        <w:t>As the world is</w:t>
      </w:r>
      <w:r w:rsidR="00EC1C9B">
        <w:rPr>
          <w:rFonts w:eastAsia="MS Mincho"/>
          <w:color w:val="000000"/>
        </w:rPr>
        <w:t xml:space="preserve"> </w:t>
      </w:r>
      <w:r w:rsidR="00DB37CF">
        <w:rPr>
          <w:rFonts w:eastAsia="MS Mincho"/>
          <w:color w:val="000000"/>
        </w:rPr>
        <w:t>rapidly</w:t>
      </w:r>
      <w:r>
        <w:rPr>
          <w:rFonts w:eastAsia="MS Mincho"/>
          <w:color w:val="000000"/>
        </w:rPr>
        <w:t xml:space="preserve"> making plans</w:t>
      </w:r>
      <w:r w:rsidR="00EC1C9B">
        <w:rPr>
          <w:rFonts w:eastAsia="MS Mincho"/>
          <w:color w:val="000000"/>
        </w:rPr>
        <w:t xml:space="preserve"> toward 100% renewable systems</w:t>
      </w:r>
      <w:r>
        <w:rPr>
          <w:rFonts w:eastAsia="MS Mincho"/>
          <w:color w:val="000000"/>
        </w:rPr>
        <w:t>,</w:t>
      </w:r>
      <w:r w:rsidR="005B4BD9">
        <w:rPr>
          <w:rFonts w:eastAsia="MS Mincho"/>
          <w:color w:val="000000"/>
        </w:rPr>
        <w:t xml:space="preserve"> demand management to complement these renewables </w:t>
      </w:r>
      <w:r w:rsidR="000B3FD8">
        <w:rPr>
          <w:rFonts w:eastAsia="MS Mincho"/>
          <w:color w:val="000000"/>
        </w:rPr>
        <w:t xml:space="preserve">will </w:t>
      </w:r>
      <w:r w:rsidR="005B4BD9">
        <w:rPr>
          <w:rFonts w:eastAsia="MS Mincho"/>
          <w:color w:val="000000"/>
        </w:rPr>
        <w:t>have beneficial effects</w:t>
      </w:r>
      <w:r>
        <w:rPr>
          <w:rFonts w:eastAsia="MS Mincho"/>
          <w:color w:val="000000"/>
        </w:rPr>
        <w:t>. However,</w:t>
      </w:r>
      <w:r w:rsidR="005B4BD9">
        <w:rPr>
          <w:rFonts w:eastAsia="MS Mincho"/>
          <w:color w:val="000000"/>
        </w:rPr>
        <w:t xml:space="preserve"> </w:t>
      </w:r>
      <w:r w:rsidR="00042CB8">
        <w:rPr>
          <w:rFonts w:eastAsia="MS Mincho"/>
          <w:color w:val="000000"/>
        </w:rPr>
        <w:t>optimal demand</w:t>
      </w:r>
      <w:r w:rsidR="00C3394D">
        <w:rPr>
          <w:rFonts w:eastAsia="MS Mincho"/>
          <w:color w:val="000000"/>
        </w:rPr>
        <w:t>-</w:t>
      </w:r>
      <w:r w:rsidR="00042CB8">
        <w:rPr>
          <w:rFonts w:eastAsia="MS Mincho"/>
          <w:color w:val="000000"/>
        </w:rPr>
        <w:t>management design</w:t>
      </w:r>
      <w:r w:rsidR="005B4BD9">
        <w:rPr>
          <w:rFonts w:eastAsia="MS Mincho"/>
          <w:color w:val="000000"/>
        </w:rPr>
        <w:t xml:space="preserve"> </w:t>
      </w:r>
      <w:r w:rsidR="008B07B7">
        <w:rPr>
          <w:rFonts w:eastAsia="MS Mincho"/>
          <w:color w:val="000000"/>
        </w:rPr>
        <w:t xml:space="preserve">is lagging the choice of generation to the extent that it is not </w:t>
      </w:r>
      <w:r w:rsidR="00CE52D8">
        <w:rPr>
          <w:rFonts w:eastAsia="MS Mincho"/>
          <w:color w:val="000000"/>
        </w:rPr>
        <w:t xml:space="preserve">even </w:t>
      </w:r>
      <w:r w:rsidR="008B07B7">
        <w:rPr>
          <w:rFonts w:eastAsia="MS Mincho"/>
          <w:color w:val="000000"/>
        </w:rPr>
        <w:t>used in a co-optimization</w:t>
      </w:r>
      <w:r w:rsidR="00CE52D8">
        <w:rPr>
          <w:rFonts w:eastAsia="MS Mincho"/>
          <w:color w:val="000000"/>
        </w:rPr>
        <w:t xml:space="preserve"> when planning coal retirements and resource additions</w:t>
      </w:r>
      <w:r w:rsidR="008B07B7">
        <w:rPr>
          <w:rFonts w:eastAsia="MS Mincho"/>
          <w:color w:val="000000"/>
        </w:rPr>
        <w:t>.</w:t>
      </w:r>
      <w:r w:rsidR="005B4BD9">
        <w:rPr>
          <w:rFonts w:eastAsia="MS Mincho"/>
          <w:color w:val="000000"/>
        </w:rPr>
        <w:t xml:space="preserve"> Existing utility and regulatory processes introduce long lag times into implementation of demand</w:t>
      </w:r>
      <w:r w:rsidR="00C3394D">
        <w:rPr>
          <w:rFonts w:eastAsia="MS Mincho"/>
          <w:color w:val="000000"/>
        </w:rPr>
        <w:t>-</w:t>
      </w:r>
      <w:r w:rsidR="005B4BD9">
        <w:rPr>
          <w:rFonts w:eastAsia="MS Mincho"/>
          <w:color w:val="000000"/>
        </w:rPr>
        <w:t xml:space="preserve">management programs. </w:t>
      </w:r>
      <w:r w:rsidR="00E46374">
        <w:rPr>
          <w:rFonts w:eastAsia="MS Mincho"/>
          <w:color w:val="000000"/>
        </w:rPr>
        <w:t xml:space="preserve">This study compared current and future electricity generation resources in Colorado with current </w:t>
      </w:r>
      <w:r w:rsidR="00E7256F">
        <w:rPr>
          <w:rFonts w:eastAsia="MS Mincho"/>
          <w:color w:val="000000"/>
        </w:rPr>
        <w:t xml:space="preserve">electricity generation </w:t>
      </w:r>
      <w:r w:rsidR="00B27D9C">
        <w:rPr>
          <w:rFonts w:eastAsia="MS Mincho"/>
          <w:color w:val="000000"/>
        </w:rPr>
        <w:t>patterns</w:t>
      </w:r>
      <w:r w:rsidR="0020214B">
        <w:rPr>
          <w:rFonts w:eastAsia="MS Mincho"/>
          <w:color w:val="000000"/>
        </w:rPr>
        <w:t xml:space="preserve"> </w:t>
      </w:r>
      <w:r w:rsidR="00E46374">
        <w:rPr>
          <w:rFonts w:eastAsia="MS Mincho"/>
          <w:color w:val="000000"/>
        </w:rPr>
        <w:t xml:space="preserve">in California to </w:t>
      </w:r>
      <w:proofErr w:type="gramStart"/>
      <w:r w:rsidR="00E46374">
        <w:rPr>
          <w:rFonts w:eastAsia="MS Mincho"/>
          <w:color w:val="000000"/>
        </w:rPr>
        <w:t xml:space="preserve">gain </w:t>
      </w:r>
      <w:r w:rsidR="00EE7396">
        <w:rPr>
          <w:rFonts w:eastAsia="MS Mincho"/>
          <w:color w:val="000000"/>
        </w:rPr>
        <w:t xml:space="preserve"> perspective</w:t>
      </w:r>
      <w:proofErr w:type="gramEnd"/>
      <w:r w:rsidR="00EE7396">
        <w:rPr>
          <w:rFonts w:eastAsia="MS Mincho"/>
          <w:color w:val="000000"/>
        </w:rPr>
        <w:t xml:space="preserve"> on</w:t>
      </w:r>
      <w:r w:rsidR="00E46374">
        <w:rPr>
          <w:rFonts w:eastAsia="MS Mincho"/>
          <w:color w:val="000000"/>
        </w:rPr>
        <w:t xml:space="preserve"> </w:t>
      </w:r>
      <w:r w:rsidR="0020214B">
        <w:rPr>
          <w:rFonts w:eastAsia="MS Mincho"/>
          <w:color w:val="000000"/>
        </w:rPr>
        <w:t>demand</w:t>
      </w:r>
      <w:r w:rsidR="00C3394D">
        <w:rPr>
          <w:rFonts w:eastAsia="MS Mincho"/>
          <w:color w:val="000000"/>
        </w:rPr>
        <w:t>-</w:t>
      </w:r>
      <w:r w:rsidR="0020214B">
        <w:rPr>
          <w:rFonts w:eastAsia="MS Mincho"/>
          <w:color w:val="000000"/>
        </w:rPr>
        <w:t>management strategies</w:t>
      </w:r>
      <w:r w:rsidR="00E7256F">
        <w:rPr>
          <w:rFonts w:eastAsia="MS Mincho"/>
          <w:color w:val="000000"/>
        </w:rPr>
        <w:t xml:space="preserve"> in electricity systems with high penetration of </w:t>
      </w:r>
      <w:r w:rsidR="00B27D9C">
        <w:rPr>
          <w:rFonts w:eastAsia="MS Mincho"/>
          <w:color w:val="000000"/>
        </w:rPr>
        <w:t>solar energy</w:t>
      </w:r>
      <w:r w:rsidR="0020214B">
        <w:rPr>
          <w:rFonts w:eastAsia="MS Mincho"/>
          <w:color w:val="000000"/>
        </w:rPr>
        <w:t>.</w:t>
      </w:r>
      <w:r w:rsidR="00E46374">
        <w:rPr>
          <w:rFonts w:eastAsia="MS Mincho"/>
          <w:color w:val="000000"/>
        </w:rPr>
        <w:t xml:space="preserve"> </w:t>
      </w:r>
      <w:r w:rsidR="00252D6F">
        <w:rPr>
          <w:rFonts w:eastAsia="MS Mincho"/>
          <w:color w:val="000000"/>
        </w:rPr>
        <w:t xml:space="preserve">In conclusion, </w:t>
      </w:r>
      <w:r w:rsidR="00EE7396">
        <w:rPr>
          <w:rFonts w:eastAsia="MS Mincho"/>
          <w:color w:val="000000"/>
        </w:rPr>
        <w:t>f</w:t>
      </w:r>
      <w:r w:rsidR="005B4BD9">
        <w:rPr>
          <w:rFonts w:eastAsia="MS Mincho"/>
          <w:color w:val="000000"/>
        </w:rPr>
        <w:t>orward-looking demand</w:t>
      </w:r>
      <w:r w:rsidR="00C3394D">
        <w:rPr>
          <w:rFonts w:eastAsia="MS Mincho"/>
          <w:color w:val="000000"/>
        </w:rPr>
        <w:t>-</w:t>
      </w:r>
      <w:r w:rsidR="005B4BD9">
        <w:rPr>
          <w:rFonts w:eastAsia="MS Mincho"/>
          <w:color w:val="000000"/>
        </w:rPr>
        <w:t xml:space="preserve">management planning and implementation is required </w:t>
      </w:r>
      <w:proofErr w:type="gramStart"/>
      <w:r w:rsidR="005B4BD9">
        <w:rPr>
          <w:rFonts w:eastAsia="MS Mincho"/>
          <w:color w:val="000000"/>
        </w:rPr>
        <w:t>in order to</w:t>
      </w:r>
      <w:proofErr w:type="gramEnd"/>
      <w:r w:rsidR="005B4BD9">
        <w:rPr>
          <w:rFonts w:eastAsia="MS Mincho"/>
          <w:color w:val="000000"/>
        </w:rPr>
        <w:t xml:space="preserve"> </w:t>
      </w:r>
      <w:r w:rsidR="00B36A17">
        <w:rPr>
          <w:rFonts w:eastAsia="MS Mincho"/>
          <w:color w:val="000000"/>
        </w:rPr>
        <w:t xml:space="preserve">better </w:t>
      </w:r>
      <w:r w:rsidR="008B07B7">
        <w:rPr>
          <w:rFonts w:eastAsia="MS Mincho"/>
          <w:color w:val="000000"/>
        </w:rPr>
        <w:t>optimize the resource planning and integration of renewables into the grid.</w:t>
      </w:r>
      <w:r w:rsidR="00042CB8">
        <w:rPr>
          <w:rFonts w:eastAsia="MS Mincho"/>
          <w:color w:val="000000"/>
        </w:rPr>
        <w:t xml:space="preserve"> Such programs </w:t>
      </w:r>
      <w:proofErr w:type="gramStart"/>
      <w:r w:rsidR="00042CB8">
        <w:rPr>
          <w:rFonts w:eastAsia="MS Mincho"/>
          <w:color w:val="000000"/>
        </w:rPr>
        <w:t>have the opportunity to</w:t>
      </w:r>
      <w:proofErr w:type="gramEnd"/>
      <w:r w:rsidR="00042CB8">
        <w:rPr>
          <w:rFonts w:eastAsia="MS Mincho"/>
          <w:color w:val="000000"/>
        </w:rPr>
        <w:t xml:space="preserve"> lead, rather than follow</w:t>
      </w:r>
      <w:r w:rsidR="00557EC3">
        <w:rPr>
          <w:rFonts w:eastAsia="MS Mincho"/>
          <w:color w:val="000000"/>
        </w:rPr>
        <w:t>,</w:t>
      </w:r>
      <w:r w:rsidR="00042CB8">
        <w:rPr>
          <w:rFonts w:eastAsia="MS Mincho"/>
          <w:color w:val="000000"/>
        </w:rPr>
        <w:t xml:space="preserve"> the ad</w:t>
      </w:r>
      <w:r w:rsidR="00753F2B">
        <w:rPr>
          <w:rFonts w:eastAsia="MS Mincho"/>
          <w:color w:val="000000"/>
        </w:rPr>
        <w:t>option of renewable electricity.</w:t>
      </w:r>
      <w:r w:rsidR="0054158A">
        <w:rPr>
          <w:rFonts w:eastAsia="MS Mincho"/>
          <w:color w:val="000000"/>
        </w:rPr>
        <w:t xml:space="preserve"> </w:t>
      </w:r>
    </w:p>
    <w:p w14:paraId="15D16CCF" w14:textId="12DF7905" w:rsidR="00D424EB" w:rsidRDefault="00EE7396" w:rsidP="00D424EB">
      <w:pPr>
        <w:rPr>
          <w:rFonts w:eastAsia="MS Mincho"/>
        </w:rPr>
      </w:pPr>
      <w:r>
        <w:rPr>
          <w:rFonts w:eastAsia="MS Mincho"/>
        </w:rPr>
        <w:br w:type="page"/>
      </w:r>
    </w:p>
    <w:p w14:paraId="2F2EF0E8" w14:textId="77777777" w:rsidR="00753F2B" w:rsidRPr="00956408" w:rsidRDefault="00F30FD8" w:rsidP="00956408">
      <w:pPr>
        <w:pStyle w:val="Heading5"/>
        <w:rPr>
          <w:rFonts w:eastAsia="MS Mincho"/>
        </w:rPr>
      </w:pPr>
      <w:r>
        <w:rPr>
          <w:rFonts w:eastAsia="MS Mincho"/>
        </w:rPr>
        <w:lastRenderedPageBreak/>
        <w:t>References</w:t>
      </w:r>
    </w:p>
    <w:p w14:paraId="36DCAE6D" w14:textId="77777777" w:rsidR="00753F2B" w:rsidRPr="009A2FF5" w:rsidRDefault="00753F2B" w:rsidP="00753F2B">
      <w:pPr>
        <w:pStyle w:val="References0"/>
        <w:numPr>
          <w:ilvl w:val="0"/>
          <w:numId w:val="15"/>
        </w:numPr>
        <w:jc w:val="left"/>
        <w:rPr>
          <w:szCs w:val="16"/>
        </w:rPr>
        <w:sectPr w:rsidR="00753F2B" w:rsidRPr="009A2FF5" w:rsidSect="00956408">
          <w:type w:val="continuous"/>
          <w:pgSz w:w="12240" w:h="15840" w:code="1"/>
          <w:pgMar w:top="1247" w:right="1021" w:bottom="1247" w:left="1021" w:header="720" w:footer="720" w:gutter="0"/>
          <w:lnNumType w:countBy="1" w:restart="continuous"/>
          <w:cols w:space="249"/>
          <w:titlePg/>
          <w:docGrid w:linePitch="360"/>
        </w:sectPr>
      </w:pPr>
    </w:p>
    <w:p w14:paraId="4B1C63A3" w14:textId="77777777" w:rsidR="00C95078" w:rsidRDefault="00C95078" w:rsidP="007E22AB">
      <w:pPr>
        <w:pStyle w:val="references"/>
        <w:numPr>
          <w:ilvl w:val="0"/>
          <w:numId w:val="0"/>
        </w:numPr>
      </w:pPr>
    </w:p>
    <w:p w14:paraId="1B274E77" w14:textId="77777777" w:rsidR="00C95078" w:rsidRDefault="00C95078" w:rsidP="007E22AB">
      <w:pPr>
        <w:pStyle w:val="references"/>
        <w:numPr>
          <w:ilvl w:val="0"/>
          <w:numId w:val="0"/>
        </w:numPr>
      </w:pPr>
    </w:p>
    <w:p w14:paraId="4F4575F3" w14:textId="08641D12" w:rsidR="00624E96" w:rsidRPr="00624E96" w:rsidRDefault="00C95078" w:rsidP="00624E96">
      <w:pPr>
        <w:pStyle w:val="EndNoteBibliography"/>
        <w:spacing w:after="0"/>
        <w:ind w:left="720" w:hanging="720"/>
      </w:pPr>
      <w:r w:rsidRPr="00C95078">
        <w:rPr>
          <w:color w:val="FF0000"/>
        </w:rPr>
        <w:fldChar w:fldCharType="begin"/>
      </w:r>
      <w:r w:rsidRPr="00C95078">
        <w:rPr>
          <w:color w:val="FF0000"/>
        </w:rPr>
        <w:instrText xml:space="preserve"> ADDIN EN.REFLIST </w:instrText>
      </w:r>
      <w:r w:rsidRPr="00C95078">
        <w:rPr>
          <w:color w:val="FF0000"/>
        </w:rPr>
        <w:fldChar w:fldCharType="separate"/>
      </w:r>
      <w:r w:rsidR="00624E96" w:rsidRPr="00624E96">
        <w:t>1.</w:t>
      </w:r>
      <w:r w:rsidR="00624E96" w:rsidRPr="00624E96">
        <w:tab/>
        <w:t xml:space="preserve">International Energy Agency (IEA). </w:t>
      </w:r>
      <w:r w:rsidR="00624E96" w:rsidRPr="00624E96">
        <w:rPr>
          <w:i/>
        </w:rPr>
        <w:t>Global EV Outlook 2022</w:t>
      </w:r>
      <w:r w:rsidR="00624E96" w:rsidRPr="00624E96">
        <w:t xml:space="preserve">. 2022  [cited 2023 May 24]; Available from: </w:t>
      </w:r>
      <w:hyperlink r:id="rId16" w:history="1">
        <w:r w:rsidR="00624E96" w:rsidRPr="00624E96">
          <w:rPr>
            <w:rStyle w:val="Hyperlink"/>
          </w:rPr>
          <w:t>https://www.iea.org/reports/global-ev-outlook-2022/trends-in-electric-light-duty-vehicles</w:t>
        </w:r>
      </w:hyperlink>
      <w:r w:rsidR="00624E96" w:rsidRPr="00624E96">
        <w:t>.</w:t>
      </w:r>
    </w:p>
    <w:p w14:paraId="3943CB21" w14:textId="7D8545E0" w:rsidR="00624E96" w:rsidRPr="00624E96" w:rsidRDefault="00624E96" w:rsidP="00624E96">
      <w:pPr>
        <w:pStyle w:val="EndNoteBibliography"/>
        <w:spacing w:after="0"/>
        <w:ind w:left="720" w:hanging="720"/>
      </w:pPr>
      <w:r w:rsidRPr="00624E96">
        <w:t>2.</w:t>
      </w:r>
      <w:r w:rsidRPr="00624E96">
        <w:tab/>
        <w:t xml:space="preserve">International Energy Agency (IEA). </w:t>
      </w:r>
      <w:r w:rsidRPr="00624E96">
        <w:rPr>
          <w:i/>
        </w:rPr>
        <w:t>The Future of Heat Pumps</w:t>
      </w:r>
      <w:r w:rsidRPr="00624E96">
        <w:t xml:space="preserve">. 2022  [cited 2023 May 24]; Available from: </w:t>
      </w:r>
      <w:hyperlink r:id="rId17" w:history="1">
        <w:r w:rsidRPr="00624E96">
          <w:rPr>
            <w:rStyle w:val="Hyperlink"/>
          </w:rPr>
          <w:t>https://www.iea.org/reports/the-future-of-heat-pumps/executive-summary</w:t>
        </w:r>
      </w:hyperlink>
      <w:r w:rsidRPr="00624E96">
        <w:t>.</w:t>
      </w:r>
    </w:p>
    <w:p w14:paraId="7CD93ECA" w14:textId="77777777" w:rsidR="00624E96" w:rsidRPr="00624E96" w:rsidRDefault="00624E96" w:rsidP="00624E96">
      <w:pPr>
        <w:pStyle w:val="EndNoteBibliography"/>
        <w:spacing w:after="0"/>
        <w:ind w:left="720" w:hanging="720"/>
      </w:pPr>
      <w:r w:rsidRPr="00624E96">
        <w:t>3.</w:t>
      </w:r>
      <w:r w:rsidRPr="00624E96">
        <w:tab/>
        <w:t xml:space="preserve">Rand, J., et al., </w:t>
      </w:r>
      <w:r w:rsidRPr="00624E96">
        <w:rPr>
          <w:i/>
        </w:rPr>
        <w:t>Queued up: Characteristics of power plants seeking transmission interconnection as of the end of 2021</w:t>
      </w:r>
      <w:r w:rsidRPr="00624E96">
        <w:t>. 2022, Lawrence Berkeley National Lab.(LBNL), Berkeley, CA (United States).</w:t>
      </w:r>
    </w:p>
    <w:p w14:paraId="3F1C211D" w14:textId="7B3C0FDA" w:rsidR="00624E96" w:rsidRPr="00624E96" w:rsidRDefault="00624E96" w:rsidP="00624E96">
      <w:pPr>
        <w:pStyle w:val="EndNoteBibliography"/>
        <w:spacing w:after="0"/>
        <w:ind w:left="720" w:hanging="720"/>
      </w:pPr>
      <w:r w:rsidRPr="00624E96">
        <w:t>4.</w:t>
      </w:r>
      <w:r w:rsidRPr="00624E96">
        <w:tab/>
        <w:t xml:space="preserve">European Environment Agency (EEA). </w:t>
      </w:r>
      <w:r w:rsidRPr="00624E96">
        <w:rPr>
          <w:i/>
        </w:rPr>
        <w:t>A future based on renewable energy</w:t>
      </w:r>
      <w:r w:rsidRPr="00624E96">
        <w:t xml:space="preserve">. 2022  [cited 2023 24 May]; Available from: </w:t>
      </w:r>
      <w:hyperlink r:id="rId18" w:anchor=":~:text=The%20EU%20solar%20energy%20strategy,also%20on%20new%20residential%20buildings" w:history="1">
        <w:r w:rsidRPr="00624E96">
          <w:rPr>
            <w:rStyle w:val="Hyperlink"/>
          </w:rPr>
          <w:t>https://www.eea.europa.eu/signals/signals-2022/articles/a-future-based-on-renewable-energy#:~:text=The%20EU%20solar%20energy%20strategy,also%20on%20new%20residential%20buildings</w:t>
        </w:r>
      </w:hyperlink>
      <w:r w:rsidRPr="00624E96">
        <w:t>.</w:t>
      </w:r>
    </w:p>
    <w:p w14:paraId="704FEF7D" w14:textId="77777777" w:rsidR="00624E96" w:rsidRPr="00624E96" w:rsidRDefault="00624E96" w:rsidP="00624E96">
      <w:pPr>
        <w:pStyle w:val="EndNoteBibliography"/>
        <w:spacing w:after="0"/>
        <w:ind w:left="720" w:hanging="720"/>
      </w:pPr>
      <w:r w:rsidRPr="00624E96">
        <w:t>5.</w:t>
      </w:r>
      <w:r w:rsidRPr="00624E96">
        <w:tab/>
        <w:t xml:space="preserve">Eid, C., et al., </w:t>
      </w:r>
      <w:r w:rsidRPr="00624E96">
        <w:rPr>
          <w:i/>
        </w:rPr>
        <w:t>Time-based pricing and electricity demand response: Existing barriers and next steps.</w:t>
      </w:r>
      <w:r w:rsidRPr="00624E96">
        <w:t xml:space="preserve"> Utilities Policy, 2016. </w:t>
      </w:r>
      <w:r w:rsidRPr="00624E96">
        <w:rPr>
          <w:b/>
        </w:rPr>
        <w:t>40</w:t>
      </w:r>
      <w:r w:rsidRPr="00624E96">
        <w:t>: p. 15-25.</w:t>
      </w:r>
    </w:p>
    <w:p w14:paraId="74C8F693" w14:textId="77777777" w:rsidR="00624E96" w:rsidRPr="00624E96" w:rsidRDefault="00624E96" w:rsidP="00624E96">
      <w:pPr>
        <w:pStyle w:val="EndNoteBibliography"/>
        <w:spacing w:after="0"/>
        <w:ind w:left="720" w:hanging="720"/>
      </w:pPr>
      <w:r w:rsidRPr="00624E96">
        <w:t>6.</w:t>
      </w:r>
      <w:r w:rsidRPr="00624E96">
        <w:tab/>
        <w:t xml:space="preserve">Barbero, M., L.C. Casals, and C. Corchero, </w:t>
      </w:r>
      <w:r w:rsidRPr="00624E96">
        <w:rPr>
          <w:i/>
        </w:rPr>
        <w:t>Comparison between economic and environmental drivers for demand side aggregator.</w:t>
      </w:r>
      <w:r w:rsidRPr="00624E96">
        <w:t xml:space="preserve"> Utilities Policy, 2020. </w:t>
      </w:r>
      <w:r w:rsidRPr="00624E96">
        <w:rPr>
          <w:b/>
        </w:rPr>
        <w:t>65</w:t>
      </w:r>
      <w:r w:rsidRPr="00624E96">
        <w:t>: p. 101077.</w:t>
      </w:r>
    </w:p>
    <w:p w14:paraId="66750B37" w14:textId="77777777" w:rsidR="00624E96" w:rsidRPr="00624E96" w:rsidRDefault="00624E96" w:rsidP="00624E96">
      <w:pPr>
        <w:pStyle w:val="EndNoteBibliography"/>
        <w:spacing w:after="0"/>
        <w:ind w:left="720" w:hanging="720"/>
      </w:pPr>
      <w:r w:rsidRPr="00624E96">
        <w:t>7.</w:t>
      </w:r>
      <w:r w:rsidRPr="00624E96">
        <w:tab/>
        <w:t xml:space="preserve">Albertsen, L.H., et al., </w:t>
      </w:r>
      <w:r w:rsidRPr="00624E96">
        <w:rPr>
          <w:i/>
        </w:rPr>
        <w:t>Implementing dynamic electricity taxation in Denmark.</w:t>
      </w:r>
      <w:r w:rsidRPr="00624E96">
        <w:t xml:space="preserve"> Energy policy, 2020. </w:t>
      </w:r>
      <w:r w:rsidRPr="00624E96">
        <w:rPr>
          <w:b/>
        </w:rPr>
        <w:t>143</w:t>
      </w:r>
      <w:r w:rsidRPr="00624E96">
        <w:t>: p. 111543.</w:t>
      </w:r>
    </w:p>
    <w:p w14:paraId="277D1756" w14:textId="77777777" w:rsidR="00624E96" w:rsidRPr="00624E96" w:rsidRDefault="00624E96" w:rsidP="00624E96">
      <w:pPr>
        <w:pStyle w:val="EndNoteBibliography"/>
        <w:spacing w:after="0"/>
        <w:ind w:left="720" w:hanging="720"/>
      </w:pPr>
      <w:r w:rsidRPr="00624E96">
        <w:t>8.</w:t>
      </w:r>
      <w:r w:rsidRPr="00624E96">
        <w:tab/>
        <w:t xml:space="preserve">Hawkes, A.D., </w:t>
      </w:r>
      <w:r w:rsidRPr="00624E96">
        <w:rPr>
          <w:i/>
        </w:rPr>
        <w:t>Estimating marginal CO2 emissions rates for national electricity systems.</w:t>
      </w:r>
      <w:r w:rsidRPr="00624E96">
        <w:t xml:space="preserve"> Energy Policy, 2010. </w:t>
      </w:r>
      <w:r w:rsidRPr="00624E96">
        <w:rPr>
          <w:b/>
        </w:rPr>
        <w:t>38</w:t>
      </w:r>
      <w:r w:rsidRPr="00624E96">
        <w:t>(10): p. 5977-5987.</w:t>
      </w:r>
    </w:p>
    <w:p w14:paraId="510DC0E3" w14:textId="77777777" w:rsidR="00624E96" w:rsidRPr="00624E96" w:rsidRDefault="00624E96" w:rsidP="00624E96">
      <w:pPr>
        <w:pStyle w:val="EndNoteBibliography"/>
        <w:spacing w:after="0"/>
        <w:ind w:left="720" w:hanging="720"/>
      </w:pPr>
      <w:r w:rsidRPr="00624E96">
        <w:t>9.</w:t>
      </w:r>
      <w:r w:rsidRPr="00624E96">
        <w:tab/>
        <w:t xml:space="preserve">Thind, M.P., et al., </w:t>
      </w:r>
      <w:r w:rsidRPr="00624E96">
        <w:rPr>
          <w:i/>
        </w:rPr>
        <w:t>Marginal emissions factors for electricity generation in the midcontinent ISO.</w:t>
      </w:r>
      <w:r w:rsidRPr="00624E96">
        <w:t xml:space="preserve"> Environmental science &amp; technology, 2017. </w:t>
      </w:r>
      <w:r w:rsidRPr="00624E96">
        <w:rPr>
          <w:b/>
        </w:rPr>
        <w:t>51</w:t>
      </w:r>
      <w:r w:rsidRPr="00624E96">
        <w:t>(24): p. 14445-14452.</w:t>
      </w:r>
    </w:p>
    <w:p w14:paraId="78D01CD3" w14:textId="77777777" w:rsidR="00624E96" w:rsidRPr="00624E96" w:rsidRDefault="00624E96" w:rsidP="00624E96">
      <w:pPr>
        <w:pStyle w:val="EndNoteBibliography"/>
        <w:spacing w:after="0"/>
        <w:ind w:left="720" w:hanging="720"/>
      </w:pPr>
      <w:r w:rsidRPr="00624E96">
        <w:t>10.</w:t>
      </w:r>
      <w:r w:rsidRPr="00624E96">
        <w:tab/>
        <w:t xml:space="preserve">Huber, J., et al., </w:t>
      </w:r>
      <w:r w:rsidRPr="00624E96">
        <w:rPr>
          <w:i/>
        </w:rPr>
        <w:t>Carbon efficient smart charging using forecasts of marginal emission factors.</w:t>
      </w:r>
      <w:r w:rsidRPr="00624E96">
        <w:t xml:space="preserve"> Journal of Cleaner Production, 2021. </w:t>
      </w:r>
      <w:r w:rsidRPr="00624E96">
        <w:rPr>
          <w:b/>
        </w:rPr>
        <w:t>284</w:t>
      </w:r>
      <w:r w:rsidRPr="00624E96">
        <w:t>: p. 124766.</w:t>
      </w:r>
    </w:p>
    <w:p w14:paraId="655C7BF8" w14:textId="77777777" w:rsidR="00624E96" w:rsidRPr="00624E96" w:rsidRDefault="00624E96" w:rsidP="00624E96">
      <w:pPr>
        <w:pStyle w:val="EndNoteBibliography"/>
        <w:spacing w:after="0"/>
        <w:ind w:left="720" w:hanging="720"/>
      </w:pPr>
      <w:r w:rsidRPr="00624E96">
        <w:t>11.</w:t>
      </w:r>
      <w:r w:rsidRPr="00624E96">
        <w:tab/>
        <w:t xml:space="preserve">Gagnon, P. and W. Cole, </w:t>
      </w:r>
      <w:r w:rsidRPr="00624E96">
        <w:rPr>
          <w:i/>
        </w:rPr>
        <w:t>Planning for the evolution of the electric grid with a long-run marginal emission rate.</w:t>
      </w:r>
      <w:r w:rsidRPr="00624E96">
        <w:t xml:space="preserve"> Iscience, 2022. </w:t>
      </w:r>
      <w:r w:rsidRPr="00624E96">
        <w:rPr>
          <w:b/>
        </w:rPr>
        <w:t>25</w:t>
      </w:r>
      <w:r w:rsidRPr="00624E96">
        <w:t>(3): p. 103915.</w:t>
      </w:r>
    </w:p>
    <w:p w14:paraId="0AE5C4BD" w14:textId="77777777" w:rsidR="00624E96" w:rsidRPr="00624E96" w:rsidRDefault="00624E96" w:rsidP="00624E96">
      <w:pPr>
        <w:pStyle w:val="EndNoteBibliography"/>
        <w:spacing w:after="0"/>
        <w:ind w:left="720" w:hanging="720"/>
      </w:pPr>
      <w:r w:rsidRPr="00624E96">
        <w:t>12.</w:t>
      </w:r>
      <w:r w:rsidRPr="00624E96">
        <w:tab/>
        <w:t xml:space="preserve">Haegel, N.M., et al., </w:t>
      </w:r>
      <w:r w:rsidRPr="00624E96">
        <w:rPr>
          <w:i/>
        </w:rPr>
        <w:t>Terawatt-scale photovoltaics: Transform global energy.</w:t>
      </w:r>
      <w:r w:rsidRPr="00624E96">
        <w:t xml:space="preserve"> Science, 2019. </w:t>
      </w:r>
      <w:r w:rsidRPr="00624E96">
        <w:rPr>
          <w:b/>
        </w:rPr>
        <w:t>364</w:t>
      </w:r>
      <w:r w:rsidRPr="00624E96">
        <w:t>(6443): p. 836-838.</w:t>
      </w:r>
    </w:p>
    <w:p w14:paraId="39C306F6" w14:textId="77777777" w:rsidR="00624E96" w:rsidRPr="00624E96" w:rsidRDefault="00624E96" w:rsidP="00624E96">
      <w:pPr>
        <w:pStyle w:val="EndNoteBibliography"/>
        <w:spacing w:after="0"/>
        <w:ind w:left="720" w:hanging="720"/>
      </w:pPr>
      <w:r w:rsidRPr="00624E96">
        <w:t>13.</w:t>
      </w:r>
      <w:r w:rsidRPr="00624E96">
        <w:tab/>
        <w:t xml:space="preserve">Haegel, N.M. and S.R. Kurtz, </w:t>
      </w:r>
      <w:r w:rsidRPr="00624E96">
        <w:rPr>
          <w:i/>
        </w:rPr>
        <w:t>Global Progress Toward Renewable Electricity: Tracking the Role of Solar (Version 2).</w:t>
      </w:r>
      <w:r w:rsidRPr="00624E96">
        <w:t xml:space="preserve"> IEEE Journal of Photovoltaics, 2022. </w:t>
      </w:r>
      <w:r w:rsidRPr="00624E96">
        <w:rPr>
          <w:b/>
        </w:rPr>
        <w:t>12</w:t>
      </w:r>
      <w:r w:rsidRPr="00624E96">
        <w:t>(6): p. 1265-1272.</w:t>
      </w:r>
    </w:p>
    <w:p w14:paraId="52A58D4A" w14:textId="77777777" w:rsidR="00624E96" w:rsidRPr="00624E96" w:rsidRDefault="00624E96" w:rsidP="00624E96">
      <w:pPr>
        <w:pStyle w:val="EndNoteBibliography"/>
        <w:spacing w:after="0"/>
        <w:ind w:left="720" w:hanging="720"/>
      </w:pPr>
      <w:r w:rsidRPr="00624E96">
        <w:t>14.</w:t>
      </w:r>
      <w:r w:rsidRPr="00624E96">
        <w:tab/>
        <w:t xml:space="preserve">Breyer, C., et al., </w:t>
      </w:r>
      <w:r w:rsidRPr="00624E96">
        <w:rPr>
          <w:i/>
        </w:rPr>
        <w:t>On the role of solar photovoltaics in global energy transition scenarios.</w:t>
      </w:r>
      <w:r w:rsidRPr="00624E96">
        <w:t xml:space="preserve"> Progress in Photovoltaics: Research and Applications, 2017. </w:t>
      </w:r>
      <w:r w:rsidRPr="00624E96">
        <w:rPr>
          <w:b/>
        </w:rPr>
        <w:t>25</w:t>
      </w:r>
      <w:r w:rsidRPr="00624E96">
        <w:t>(8): p. 727-745.</w:t>
      </w:r>
    </w:p>
    <w:p w14:paraId="6708AB23" w14:textId="0DA33587" w:rsidR="00624E96" w:rsidRPr="00624E96" w:rsidRDefault="00624E96" w:rsidP="00624E96">
      <w:pPr>
        <w:pStyle w:val="EndNoteBibliography"/>
        <w:spacing w:after="0"/>
        <w:ind w:left="720" w:hanging="720"/>
      </w:pPr>
      <w:r w:rsidRPr="00624E96">
        <w:t>15.</w:t>
      </w:r>
      <w:r w:rsidRPr="00624E96">
        <w:tab/>
        <w:t xml:space="preserve">U.S. Energy Information Administration (EIA). </w:t>
      </w:r>
      <w:r w:rsidRPr="00624E96">
        <w:rPr>
          <w:i/>
        </w:rPr>
        <w:t>Hourly Electric Grid Monitor</w:t>
      </w:r>
      <w:r w:rsidRPr="00624E96">
        <w:t xml:space="preserve">.  [cited 2023 May 14]; Available from: </w:t>
      </w:r>
      <w:hyperlink r:id="rId19" w:history="1">
        <w:r w:rsidRPr="00624E96">
          <w:rPr>
            <w:rStyle w:val="Hyperlink"/>
          </w:rPr>
          <w:t>https://www.eia.gov/beta/electricity/gridmonitor/dashboard/electric_overview/US48/US48</w:t>
        </w:r>
      </w:hyperlink>
      <w:r w:rsidRPr="00624E96">
        <w:t xml:space="preserve">  </w:t>
      </w:r>
    </w:p>
    <w:p w14:paraId="0465B0D4" w14:textId="77777777" w:rsidR="00624E96" w:rsidRPr="00624E96" w:rsidRDefault="00624E96" w:rsidP="00624E96">
      <w:pPr>
        <w:pStyle w:val="EndNoteBibliography"/>
        <w:spacing w:after="0"/>
        <w:ind w:left="720" w:hanging="720"/>
      </w:pPr>
      <w:r w:rsidRPr="00624E96">
        <w:t>16.</w:t>
      </w:r>
      <w:r w:rsidRPr="00624E96">
        <w:tab/>
      </w:r>
      <w:r w:rsidRPr="00624E96">
        <w:rPr>
          <w:i/>
        </w:rPr>
        <w:t>Direct testimony of Alice K. Jackson, Proceeding number 21A-0141E of the Colorado Public Utilities Commission, Plan overview and appendix 2. (Unpublished)</w:t>
      </w:r>
      <w:r w:rsidRPr="00624E96">
        <w:t>. March 2021. p. 47-48 and 296.</w:t>
      </w:r>
    </w:p>
    <w:p w14:paraId="3D7C4EBC" w14:textId="20AD5E35" w:rsidR="00624E96" w:rsidRPr="00624E96" w:rsidRDefault="00624E96" w:rsidP="00624E96">
      <w:pPr>
        <w:pStyle w:val="EndNoteBibliography"/>
        <w:spacing w:after="0"/>
        <w:ind w:left="720" w:hanging="720"/>
      </w:pPr>
      <w:r w:rsidRPr="00624E96">
        <w:t>17.</w:t>
      </w:r>
      <w:r w:rsidRPr="00624E96">
        <w:tab/>
        <w:t xml:space="preserve">U.S. Energy Information Administration (EIA). </w:t>
      </w:r>
      <w:r w:rsidRPr="00624E96">
        <w:rPr>
          <w:i/>
        </w:rPr>
        <w:t>Electricity Data Browser</w:t>
      </w:r>
      <w:r w:rsidRPr="00624E96">
        <w:t xml:space="preserve">.  [cited 2023 May 24]; Available from: </w:t>
      </w:r>
      <w:hyperlink r:id="rId20" w:history="1">
        <w:r w:rsidRPr="00624E96">
          <w:rPr>
            <w:rStyle w:val="Hyperlink"/>
          </w:rPr>
          <w:t>https://www.eia.gov/electricity/data/browser</w:t>
        </w:r>
      </w:hyperlink>
      <w:r w:rsidRPr="00624E96">
        <w:t>.</w:t>
      </w:r>
    </w:p>
    <w:p w14:paraId="1382A2FD" w14:textId="4113244F" w:rsidR="00624E96" w:rsidRPr="00624E96" w:rsidRDefault="00624E96" w:rsidP="00624E96">
      <w:pPr>
        <w:pStyle w:val="EndNoteBibliography"/>
        <w:spacing w:after="0"/>
        <w:ind w:left="720" w:hanging="720"/>
      </w:pPr>
      <w:r w:rsidRPr="00624E96">
        <w:t>18.</w:t>
      </w:r>
      <w:r w:rsidRPr="00624E96">
        <w:tab/>
        <w:t xml:space="preserve">California Independent System Operator (CAISO). </w:t>
      </w:r>
      <w:r w:rsidRPr="00624E96">
        <w:rPr>
          <w:i/>
        </w:rPr>
        <w:t>LCG Consulting “Energyonline” website, CAISO Day-Ahead Pricing</w:t>
      </w:r>
      <w:r w:rsidRPr="00624E96">
        <w:t xml:space="preserve">.  [cited 2023 April 10]; Available from: </w:t>
      </w:r>
      <w:hyperlink r:id="rId21" w:history="1">
        <w:r w:rsidRPr="00624E96">
          <w:rPr>
            <w:rStyle w:val="Hyperlink"/>
          </w:rPr>
          <w:t>http://www.energyonline.com/Data/GenericData.aspx?DataId=22&amp;CAISO___Day-Ahead_Price</w:t>
        </w:r>
      </w:hyperlink>
      <w:r w:rsidRPr="00624E96">
        <w:t>.</w:t>
      </w:r>
    </w:p>
    <w:p w14:paraId="21429F47" w14:textId="6DB8208A" w:rsidR="00624E96" w:rsidRPr="00624E96" w:rsidRDefault="00624E96" w:rsidP="00624E96">
      <w:pPr>
        <w:pStyle w:val="EndNoteBibliography"/>
        <w:spacing w:after="0"/>
        <w:ind w:left="720" w:hanging="720"/>
      </w:pPr>
      <w:r w:rsidRPr="00624E96">
        <w:t>19.</w:t>
      </w:r>
      <w:r w:rsidRPr="00624E96">
        <w:tab/>
        <w:t xml:space="preserve">California Energy Commission. </w:t>
      </w:r>
      <w:r w:rsidRPr="00624E96">
        <w:rPr>
          <w:i/>
        </w:rPr>
        <w:t>SB 100 Joint Agency Report</w:t>
      </w:r>
      <w:r w:rsidRPr="00624E96">
        <w:t xml:space="preserve">.  [cited 2023 April 10]; Available from: </w:t>
      </w:r>
      <w:hyperlink r:id="rId22" w:history="1">
        <w:r w:rsidRPr="00624E96">
          <w:rPr>
            <w:rStyle w:val="Hyperlink"/>
          </w:rPr>
          <w:t>https://www.energy.ca.gov/sb100</w:t>
        </w:r>
      </w:hyperlink>
      <w:r w:rsidRPr="00624E96">
        <w:t xml:space="preserve"> </w:t>
      </w:r>
    </w:p>
    <w:p w14:paraId="1F177B1E" w14:textId="77777777" w:rsidR="00624E96" w:rsidRPr="00624E96" w:rsidRDefault="00624E96" w:rsidP="00624E96">
      <w:pPr>
        <w:pStyle w:val="EndNoteBibliography"/>
        <w:spacing w:after="0"/>
        <w:ind w:left="720" w:hanging="720"/>
      </w:pPr>
      <w:r w:rsidRPr="00624E96">
        <w:t>20.</w:t>
      </w:r>
      <w:r w:rsidRPr="00624E96">
        <w:tab/>
      </w:r>
      <w:r w:rsidRPr="00624E96">
        <w:rPr>
          <w:i/>
        </w:rPr>
        <w:t>Direct Testimony of Gwendolyn Farnsworth, Proceeding number 19AL-0687E of the Colorado Public Utilities Commission (Unpublished).</w:t>
      </w:r>
      <w:r w:rsidRPr="00624E96">
        <w:t xml:space="preserve"> April 2020. p. 6-13.</w:t>
      </w:r>
    </w:p>
    <w:p w14:paraId="2F981587" w14:textId="3A8A5849" w:rsidR="00624E96" w:rsidRPr="00624E96" w:rsidRDefault="00624E96" w:rsidP="00624E96">
      <w:pPr>
        <w:pStyle w:val="EndNoteBibliography"/>
        <w:spacing w:after="0"/>
        <w:ind w:left="720" w:hanging="720"/>
      </w:pPr>
      <w:r w:rsidRPr="00624E96">
        <w:t>21.</w:t>
      </w:r>
      <w:r w:rsidRPr="00624E96">
        <w:tab/>
      </w:r>
      <w:r w:rsidRPr="00624E96">
        <w:rPr>
          <w:i/>
        </w:rPr>
        <w:t>Time of use pricing</w:t>
      </w:r>
      <w:r w:rsidRPr="00624E96">
        <w:t xml:space="preserve">.  [cited 2023 May 13]; Available from: </w:t>
      </w:r>
      <w:hyperlink r:id="rId23" w:history="1">
        <w:r w:rsidRPr="00624E96">
          <w:rPr>
            <w:rStyle w:val="Hyperlink"/>
          </w:rPr>
          <w:t>https://co.my.xcelenergy.com/s/billing-payment/residential-rates/time-of-use-pricing</w:t>
        </w:r>
      </w:hyperlink>
      <w:r w:rsidRPr="00624E96">
        <w:t>.</w:t>
      </w:r>
    </w:p>
    <w:p w14:paraId="30762C61" w14:textId="77777777" w:rsidR="00624E96" w:rsidRPr="00624E96" w:rsidRDefault="00624E96" w:rsidP="00624E96">
      <w:pPr>
        <w:pStyle w:val="EndNoteBibliography"/>
        <w:spacing w:after="0"/>
        <w:ind w:left="720" w:hanging="720"/>
      </w:pPr>
      <w:r w:rsidRPr="00624E96">
        <w:t>22.</w:t>
      </w:r>
      <w:r w:rsidRPr="00624E96">
        <w:tab/>
      </w:r>
      <w:r w:rsidRPr="00624E96">
        <w:rPr>
          <w:i/>
        </w:rPr>
        <w:t>Rebuttal Testimony of Jack W. Ihle, Proceeding number 21A-0141E of the Colorado Public Utilities Commission (Unpublished)</w:t>
      </w:r>
      <w:r w:rsidRPr="00624E96">
        <w:t>. Nov. 2021. p. 37.</w:t>
      </w:r>
    </w:p>
    <w:p w14:paraId="399154C1" w14:textId="77777777" w:rsidR="00624E96" w:rsidRPr="00624E96" w:rsidRDefault="00624E96" w:rsidP="00624E96">
      <w:pPr>
        <w:pStyle w:val="EndNoteBibliography"/>
        <w:spacing w:after="0"/>
        <w:ind w:left="720" w:hanging="720"/>
      </w:pPr>
      <w:r w:rsidRPr="00624E96">
        <w:t>23.</w:t>
      </w:r>
      <w:r w:rsidRPr="00624E96">
        <w:tab/>
        <w:t xml:space="preserve">Powell, S., et al., </w:t>
      </w:r>
      <w:r w:rsidRPr="00624E96">
        <w:rPr>
          <w:i/>
        </w:rPr>
        <w:t>Charging infrastructure access and operation to reduce the grid impacts of deep electric vehicle adoption.</w:t>
      </w:r>
      <w:r w:rsidRPr="00624E96">
        <w:t xml:space="preserve"> Nature Energy, 2022. </w:t>
      </w:r>
      <w:r w:rsidRPr="00624E96">
        <w:rPr>
          <w:b/>
        </w:rPr>
        <w:t>7</w:t>
      </w:r>
      <w:r w:rsidRPr="00624E96">
        <w:t>(10): p. 932-945.</w:t>
      </w:r>
    </w:p>
    <w:p w14:paraId="718ACE54" w14:textId="77777777" w:rsidR="00624E96" w:rsidRPr="00624E96" w:rsidRDefault="00624E96" w:rsidP="00624E96">
      <w:pPr>
        <w:pStyle w:val="EndNoteBibliography"/>
        <w:spacing w:after="0"/>
        <w:ind w:left="720" w:hanging="720"/>
      </w:pPr>
      <w:r w:rsidRPr="00624E96">
        <w:t>24.</w:t>
      </w:r>
      <w:r w:rsidRPr="00624E96">
        <w:tab/>
        <w:t xml:space="preserve">Sinton, R.A. </w:t>
      </w:r>
      <w:r w:rsidRPr="00624E96">
        <w:rPr>
          <w:i/>
        </w:rPr>
        <w:t>Visualizing the Promise and Difficulty of Demand Shifting During a Clean-Energy Transition</w:t>
      </w:r>
      <w:r w:rsidRPr="00624E96">
        <w:t xml:space="preserve">. in </w:t>
      </w:r>
      <w:r w:rsidRPr="00624E96">
        <w:rPr>
          <w:i/>
        </w:rPr>
        <w:t>2020 47th IEEE Photovoltaic Specialists Conference (PVSC)</w:t>
      </w:r>
      <w:r w:rsidRPr="00624E96">
        <w:t>. 2020. IEEE.</w:t>
      </w:r>
    </w:p>
    <w:p w14:paraId="0F627C45" w14:textId="77777777" w:rsidR="00624E96" w:rsidRPr="00624E96" w:rsidRDefault="00624E96" w:rsidP="00624E96">
      <w:pPr>
        <w:pStyle w:val="EndNoteBibliography"/>
        <w:spacing w:after="0"/>
        <w:ind w:left="720" w:hanging="720"/>
      </w:pPr>
      <w:r w:rsidRPr="00624E96">
        <w:t>25.</w:t>
      </w:r>
      <w:r w:rsidRPr="00624E96">
        <w:tab/>
        <w:t xml:space="preserve">Sinton, R.A. </w:t>
      </w:r>
      <w:r w:rsidRPr="00624E96">
        <w:rPr>
          <w:i/>
        </w:rPr>
        <w:t>Observations On A Colorado Electric-Utility Resource Plan For Increasing Renewables From 55% to 80% By 2030</w:t>
      </w:r>
      <w:r w:rsidRPr="00624E96">
        <w:t xml:space="preserve">. in </w:t>
      </w:r>
      <w:r w:rsidRPr="00624E96">
        <w:rPr>
          <w:i/>
        </w:rPr>
        <w:t>2022 IEEE 49th Photovoltaics Specialists Conference (PVSC)</w:t>
      </w:r>
      <w:r w:rsidRPr="00624E96">
        <w:t>. 2022. IEEE.</w:t>
      </w:r>
    </w:p>
    <w:p w14:paraId="76C3CA0B" w14:textId="77777777" w:rsidR="00624E96" w:rsidRPr="00624E96" w:rsidRDefault="00624E96" w:rsidP="00624E96">
      <w:pPr>
        <w:pStyle w:val="EndNoteBibliography"/>
        <w:spacing w:after="0"/>
        <w:ind w:left="720" w:hanging="720"/>
      </w:pPr>
      <w:r w:rsidRPr="00624E96">
        <w:t>26.</w:t>
      </w:r>
      <w:r w:rsidRPr="00624E96">
        <w:tab/>
      </w:r>
      <w:r w:rsidRPr="00624E96">
        <w:rPr>
          <w:i/>
        </w:rPr>
        <w:t>Direct Testimony of Jon T. Landrum, Proceeding number 22A-0309EG of the Colorado Public Utilities Commission (Unpublished).</w:t>
      </w:r>
      <w:r w:rsidRPr="00624E96">
        <w:t xml:space="preserve"> July 2022 p. 21.</w:t>
      </w:r>
    </w:p>
    <w:p w14:paraId="750E15C1" w14:textId="77777777" w:rsidR="00624E96" w:rsidRPr="00624E96" w:rsidRDefault="00624E96" w:rsidP="00624E96">
      <w:pPr>
        <w:pStyle w:val="EndNoteBibliography"/>
        <w:spacing w:after="0"/>
        <w:ind w:left="720" w:hanging="720"/>
      </w:pPr>
      <w:r w:rsidRPr="00624E96">
        <w:t>27.</w:t>
      </w:r>
      <w:r w:rsidRPr="00624E96">
        <w:tab/>
      </w:r>
      <w:r w:rsidRPr="00624E96">
        <w:rPr>
          <w:i/>
        </w:rPr>
        <w:t>Direct Testimony of Ryan L Bruers, Proceeding number 22A-0309EG of the Colorado Public Utilities Commission (Unpublished)</w:t>
      </w:r>
      <w:r w:rsidRPr="00624E96">
        <w:t>. July 2022. p. 28.</w:t>
      </w:r>
    </w:p>
    <w:p w14:paraId="2AC2EFFC" w14:textId="77777777" w:rsidR="00624E96" w:rsidRPr="00624E96" w:rsidRDefault="00624E96" w:rsidP="00624E96">
      <w:pPr>
        <w:pStyle w:val="EndNoteBibliography"/>
        <w:spacing w:after="0"/>
        <w:ind w:left="720" w:hanging="720"/>
      </w:pPr>
      <w:r w:rsidRPr="00624E96">
        <w:t>28.</w:t>
      </w:r>
      <w:r w:rsidRPr="00624E96">
        <w:tab/>
      </w:r>
      <w:r w:rsidRPr="00624E96">
        <w:rPr>
          <w:i/>
        </w:rPr>
        <w:t>Alice K Jackson Appendix E_ELCC Study Report, Colorado PUC Proceeding number 21A-0141E of the Colorado Public Utilities (Unpublished).</w:t>
      </w:r>
      <w:r w:rsidRPr="00624E96">
        <w:t xml:space="preserve"> May 2021.</w:t>
      </w:r>
    </w:p>
    <w:p w14:paraId="1838CDDE" w14:textId="77777777" w:rsidR="00624E96" w:rsidRPr="00624E96" w:rsidRDefault="00624E96" w:rsidP="00624E96">
      <w:pPr>
        <w:pStyle w:val="EndNoteBibliography"/>
        <w:ind w:left="720" w:hanging="720"/>
      </w:pPr>
      <w:r w:rsidRPr="00624E96">
        <w:t>29.</w:t>
      </w:r>
      <w:r w:rsidRPr="00624E96">
        <w:tab/>
        <w:t xml:space="preserve">Parks, K., </w:t>
      </w:r>
      <w:r w:rsidRPr="00624E96">
        <w:rPr>
          <w:i/>
        </w:rPr>
        <w:t>Declining capacity credit for energy storage and demand response with increased penetration.</w:t>
      </w:r>
      <w:r w:rsidRPr="00624E96">
        <w:t xml:space="preserve"> IEEE Transactions on Power Systems, 2019. </w:t>
      </w:r>
      <w:r w:rsidRPr="00624E96">
        <w:rPr>
          <w:b/>
        </w:rPr>
        <w:t>34</w:t>
      </w:r>
      <w:r w:rsidRPr="00624E96">
        <w:t>(6): p. 4542-4546.</w:t>
      </w:r>
    </w:p>
    <w:p w14:paraId="22A41538" w14:textId="4C6D4D3C" w:rsidR="00BB6A8E" w:rsidRDefault="00C95078" w:rsidP="00624E96">
      <w:pPr>
        <w:pStyle w:val="references"/>
        <w:numPr>
          <w:ilvl w:val="0"/>
          <w:numId w:val="0"/>
        </w:numPr>
      </w:pPr>
      <w:r w:rsidRPr="00C95078">
        <w:rPr>
          <w:color w:val="FF0000"/>
        </w:rPr>
        <w:fldChar w:fldCharType="end"/>
      </w:r>
    </w:p>
    <w:sectPr w:rsidR="00BB6A8E" w:rsidSect="00956408">
      <w:type w:val="continuous"/>
      <w:pgSz w:w="12240" w:h="15840" w:code="1"/>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743F" w14:textId="77777777" w:rsidR="003322A0" w:rsidRDefault="003322A0" w:rsidP="00EC6DAA">
      <w:r>
        <w:separator/>
      </w:r>
    </w:p>
  </w:endnote>
  <w:endnote w:type="continuationSeparator" w:id="0">
    <w:p w14:paraId="24DDDB08" w14:textId="77777777" w:rsidR="003322A0" w:rsidRDefault="003322A0" w:rsidP="00EC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BE4A" w14:textId="065A5C57" w:rsidR="000421EC" w:rsidRDefault="000421EC">
    <w:pPr>
      <w:pStyle w:val="Footer"/>
      <w:jc w:val="right"/>
    </w:pPr>
    <w:r>
      <w:fldChar w:fldCharType="begin"/>
    </w:r>
    <w:r>
      <w:instrText xml:space="preserve"> PAGE   \* MERGEFORMAT </w:instrText>
    </w:r>
    <w:r>
      <w:fldChar w:fldCharType="separate"/>
    </w:r>
    <w:r w:rsidR="00624E96">
      <w:rPr>
        <w:noProof/>
      </w:rPr>
      <w:t>9</w:t>
    </w:r>
    <w:r>
      <w:rPr>
        <w:noProof/>
      </w:rPr>
      <w:fldChar w:fldCharType="end"/>
    </w:r>
  </w:p>
  <w:p w14:paraId="198CF84A" w14:textId="77777777" w:rsidR="000421EC" w:rsidRDefault="00042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A7A5" w14:textId="77777777" w:rsidR="000421EC" w:rsidRDefault="000421EC" w:rsidP="00D57088">
    <w:pPr>
      <w:pStyle w:val="sponsors"/>
      <w:framePr w:wrap="auto" w:vAnchor="page" w:hAnchor="page" w:x="915" w:y="13681"/>
      <w:rPr>
        <w:rFonts w:eastAsia="MS Mincho"/>
      </w:rPr>
    </w:pPr>
    <w:r>
      <w:rPr>
        <w:rFonts w:eastAsia="MS Mincho"/>
      </w:rPr>
      <w:t xml:space="preserve">Identify applicable sponsor/s here. </w:t>
    </w:r>
    <w:r>
      <w:rPr>
        <w:rFonts w:eastAsia="MS Mincho"/>
        <w:i/>
        <w:iCs/>
      </w:rPr>
      <w:t>(sponsors)</w:t>
    </w:r>
  </w:p>
  <w:p w14:paraId="48A837BD" w14:textId="77777777" w:rsidR="000421EC" w:rsidRDefault="00042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6F1B" w14:textId="77777777" w:rsidR="003322A0" w:rsidRDefault="003322A0" w:rsidP="00EC6DAA">
      <w:r>
        <w:separator/>
      </w:r>
    </w:p>
  </w:footnote>
  <w:footnote w:type="continuationSeparator" w:id="0">
    <w:p w14:paraId="782E28F5" w14:textId="77777777" w:rsidR="003322A0" w:rsidRDefault="003322A0" w:rsidP="00EC6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64327"/>
    <w:multiLevelType w:val="multilevel"/>
    <w:tmpl w:val="1DC0D864"/>
    <w:styleLink w:val="CurrentList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26053A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96118DF"/>
    <w:multiLevelType w:val="hybridMultilevel"/>
    <w:tmpl w:val="A622D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832D36"/>
    <w:multiLevelType w:val="hybridMultilevel"/>
    <w:tmpl w:val="CE7E6A28"/>
    <w:lvl w:ilvl="0" w:tplc="067E7A42">
      <w:start w:val="1"/>
      <w:numFmt w:val="decimal"/>
      <w:pStyle w:val="Subtitle"/>
      <w:lvlText w:val="Fig.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B7FCE"/>
    <w:multiLevelType w:val="multilevel"/>
    <w:tmpl w:val="1DC0D86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366F0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10"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1" w15:restartNumberingAfterBreak="0">
    <w:nsid w:val="3DA07285"/>
    <w:multiLevelType w:val="multilevel"/>
    <w:tmpl w:val="C414E9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189603E"/>
    <w:multiLevelType w:val="multilevel"/>
    <w:tmpl w:val="DBF624EE"/>
    <w:lvl w:ilvl="0">
      <w:start w:val="1"/>
      <w:numFmt w:val="decimal"/>
      <w:lvlText w:val="%1."/>
      <w:lvlJc w:val="left"/>
      <w:pPr>
        <w:ind w:left="360" w:hanging="360"/>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iCs/>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3A079E"/>
    <w:multiLevelType w:val="multilevel"/>
    <w:tmpl w:val="25AED668"/>
    <w:styleLink w:val="CurrentList1"/>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15:restartNumberingAfterBreak="0">
    <w:nsid w:val="52CA544A"/>
    <w:multiLevelType w:val="singleLevel"/>
    <w:tmpl w:val="AED6D67E"/>
    <w:lvl w:ilvl="0">
      <w:start w:val="1"/>
      <w:numFmt w:val="decimal"/>
      <w:pStyle w:val="references"/>
      <w:lvlText w:val="[%1]"/>
      <w:lvlJc w:val="left"/>
      <w:pPr>
        <w:tabs>
          <w:tab w:val="num" w:pos="450"/>
        </w:tabs>
        <w:ind w:left="450" w:hanging="360"/>
      </w:pPr>
      <w:rPr>
        <w:rFonts w:ascii="Times New Roman" w:hAnsi="Times New Roman" w:cs="Times New Roman" w:hint="default"/>
        <w:b w:val="0"/>
        <w:bCs w:val="0"/>
        <w:i w:val="0"/>
        <w:iCs w:val="0"/>
        <w:sz w:val="16"/>
        <w:szCs w:val="16"/>
      </w:rPr>
    </w:lvl>
  </w:abstractNum>
  <w:abstractNum w:abstractNumId="15" w15:restartNumberingAfterBreak="0">
    <w:nsid w:val="5AC03DE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866B8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15:restartNumberingAfterBreak="0">
    <w:nsid w:val="70F716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5C49B1"/>
    <w:multiLevelType w:val="hybridMultilevel"/>
    <w:tmpl w:val="AE2C3EF4"/>
    <w:lvl w:ilvl="0" w:tplc="51BC2070">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1138497912">
    <w:abstractNumId w:val="8"/>
  </w:num>
  <w:num w:numId="2" w16cid:durableId="1769736925">
    <w:abstractNumId w:val="17"/>
  </w:num>
  <w:num w:numId="3" w16cid:durableId="432092009">
    <w:abstractNumId w:val="3"/>
  </w:num>
  <w:num w:numId="4" w16cid:durableId="1401096595">
    <w:abstractNumId w:val="12"/>
  </w:num>
  <w:num w:numId="5" w16cid:durableId="1069422498">
    <w:abstractNumId w:val="12"/>
  </w:num>
  <w:num w:numId="6" w16cid:durableId="864637262">
    <w:abstractNumId w:val="12"/>
  </w:num>
  <w:num w:numId="7" w16cid:durableId="246840743">
    <w:abstractNumId w:val="12"/>
  </w:num>
  <w:num w:numId="8" w16cid:durableId="1403023076">
    <w:abstractNumId w:val="14"/>
  </w:num>
  <w:num w:numId="9" w16cid:durableId="2143694044">
    <w:abstractNumId w:val="18"/>
  </w:num>
  <w:num w:numId="10" w16cid:durableId="1790585277">
    <w:abstractNumId w:val="9"/>
  </w:num>
  <w:num w:numId="11" w16cid:durableId="77679780">
    <w:abstractNumId w:val="1"/>
  </w:num>
  <w:num w:numId="12" w16cid:durableId="1699549422">
    <w:abstractNumId w:val="10"/>
  </w:num>
  <w:num w:numId="13" w16cid:durableId="19103791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7078781">
    <w:abstractNumId w:val="13"/>
  </w:num>
  <w:num w:numId="15" w16cid:durableId="558595880">
    <w:abstractNumId w:val="4"/>
  </w:num>
  <w:num w:numId="16" w16cid:durableId="467557614">
    <w:abstractNumId w:val="20"/>
  </w:num>
  <w:num w:numId="17" w16cid:durableId="524752962">
    <w:abstractNumId w:val="11"/>
  </w:num>
  <w:num w:numId="18" w16cid:durableId="26763824">
    <w:abstractNumId w:val="5"/>
  </w:num>
  <w:num w:numId="19" w16cid:durableId="50858752">
    <w:abstractNumId w:val="2"/>
  </w:num>
  <w:num w:numId="20" w16cid:durableId="1295986304">
    <w:abstractNumId w:val="6"/>
  </w:num>
  <w:num w:numId="21" w16cid:durableId="1408577197">
    <w:abstractNumId w:val="7"/>
  </w:num>
  <w:num w:numId="22" w16cid:durableId="225142647">
    <w:abstractNumId w:val="15"/>
  </w:num>
  <w:num w:numId="23" w16cid:durableId="659311018">
    <w:abstractNumId w:val="16"/>
  </w:num>
  <w:num w:numId="24" w16cid:durableId="1155032310">
    <w:abstractNumId w:val="19"/>
  </w:num>
  <w:num w:numId="25" w16cid:durableId="1962616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665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5529r5t9fw5eeevs6pvsf7zetpxrvxx2we&quot;&gt;Sarah&lt;record-ids&gt;&lt;item&gt;1&lt;/item&gt;&lt;item&gt;2&lt;/item&gt;&lt;item&gt;6&lt;/item&gt;&lt;item&gt;9&lt;/item&gt;&lt;item&gt;10&lt;/item&gt;&lt;item&gt;11&lt;/item&gt;&lt;item&gt;12&lt;/item&gt;&lt;item&gt;14&lt;/item&gt;&lt;item&gt;16&lt;/item&gt;&lt;item&gt;17&lt;/item&gt;&lt;item&gt;18&lt;/item&gt;&lt;item&gt;19&lt;/item&gt;&lt;item&gt;20&lt;/item&gt;&lt;item&gt;21&lt;/item&gt;&lt;item&gt;22&lt;/item&gt;&lt;item&gt;23&lt;/item&gt;&lt;item&gt;24&lt;/item&gt;&lt;item&gt;26&lt;/item&gt;&lt;item&gt;27&lt;/item&gt;&lt;item&gt;28&lt;/item&gt;&lt;item&gt;29&lt;/item&gt;&lt;item&gt;33&lt;/item&gt;&lt;item&gt;34&lt;/item&gt;&lt;item&gt;35&lt;/item&gt;&lt;item&gt;36&lt;/item&gt;&lt;item&gt;37&lt;/item&gt;&lt;item&gt;38&lt;/item&gt;&lt;item&gt;39&lt;/item&gt;&lt;item&gt;40&lt;/item&gt;&lt;/record-ids&gt;&lt;/item&gt;&lt;/Libraries&gt;"/>
  </w:docVars>
  <w:rsids>
    <w:rsidRoot w:val="00F721A2"/>
    <w:rsid w:val="00002C80"/>
    <w:rsid w:val="0001240B"/>
    <w:rsid w:val="00016DA3"/>
    <w:rsid w:val="000200A6"/>
    <w:rsid w:val="000243C3"/>
    <w:rsid w:val="0002515D"/>
    <w:rsid w:val="00031CB1"/>
    <w:rsid w:val="00031FD1"/>
    <w:rsid w:val="000354BB"/>
    <w:rsid w:val="00035E1D"/>
    <w:rsid w:val="00036AAD"/>
    <w:rsid w:val="000421EC"/>
    <w:rsid w:val="000425F9"/>
    <w:rsid w:val="00042CB8"/>
    <w:rsid w:val="00044AD0"/>
    <w:rsid w:val="0005075A"/>
    <w:rsid w:val="00051611"/>
    <w:rsid w:val="00053ED1"/>
    <w:rsid w:val="000547EC"/>
    <w:rsid w:val="00054F73"/>
    <w:rsid w:val="00056CD9"/>
    <w:rsid w:val="000571CB"/>
    <w:rsid w:val="0005754A"/>
    <w:rsid w:val="00057E85"/>
    <w:rsid w:val="0006400C"/>
    <w:rsid w:val="000651EE"/>
    <w:rsid w:val="000659AC"/>
    <w:rsid w:val="00065A12"/>
    <w:rsid w:val="00067838"/>
    <w:rsid w:val="000737B3"/>
    <w:rsid w:val="00073A46"/>
    <w:rsid w:val="0007491B"/>
    <w:rsid w:val="00074E3D"/>
    <w:rsid w:val="00081AF7"/>
    <w:rsid w:val="000910C1"/>
    <w:rsid w:val="000934E7"/>
    <w:rsid w:val="00093D42"/>
    <w:rsid w:val="00096B75"/>
    <w:rsid w:val="000A435C"/>
    <w:rsid w:val="000A637F"/>
    <w:rsid w:val="000B0E84"/>
    <w:rsid w:val="000B3032"/>
    <w:rsid w:val="000B3FD8"/>
    <w:rsid w:val="000B7753"/>
    <w:rsid w:val="000C101C"/>
    <w:rsid w:val="000C1B48"/>
    <w:rsid w:val="000C44A1"/>
    <w:rsid w:val="000C4E96"/>
    <w:rsid w:val="000D0590"/>
    <w:rsid w:val="000E0911"/>
    <w:rsid w:val="000E345B"/>
    <w:rsid w:val="000E48FD"/>
    <w:rsid w:val="000E647C"/>
    <w:rsid w:val="000F07E7"/>
    <w:rsid w:val="000F347D"/>
    <w:rsid w:val="00100275"/>
    <w:rsid w:val="001007C5"/>
    <w:rsid w:val="00100D13"/>
    <w:rsid w:val="00102736"/>
    <w:rsid w:val="00104698"/>
    <w:rsid w:val="001129EA"/>
    <w:rsid w:val="00113F6F"/>
    <w:rsid w:val="00114CFA"/>
    <w:rsid w:val="001168C1"/>
    <w:rsid w:val="00127617"/>
    <w:rsid w:val="0013606F"/>
    <w:rsid w:val="00146578"/>
    <w:rsid w:val="00146BAD"/>
    <w:rsid w:val="001475C0"/>
    <w:rsid w:val="00150CEF"/>
    <w:rsid w:val="00156309"/>
    <w:rsid w:val="00160528"/>
    <w:rsid w:val="001626CC"/>
    <w:rsid w:val="00163F1F"/>
    <w:rsid w:val="00164224"/>
    <w:rsid w:val="00164FAF"/>
    <w:rsid w:val="00165BB2"/>
    <w:rsid w:val="00167C32"/>
    <w:rsid w:val="001717CE"/>
    <w:rsid w:val="0017250A"/>
    <w:rsid w:val="0017346A"/>
    <w:rsid w:val="00174DCC"/>
    <w:rsid w:val="0017534F"/>
    <w:rsid w:val="00183849"/>
    <w:rsid w:val="00183F00"/>
    <w:rsid w:val="00184EFA"/>
    <w:rsid w:val="00187737"/>
    <w:rsid w:val="00190BAB"/>
    <w:rsid w:val="00192A2C"/>
    <w:rsid w:val="00196356"/>
    <w:rsid w:val="00197F85"/>
    <w:rsid w:val="001A036B"/>
    <w:rsid w:val="001A0656"/>
    <w:rsid w:val="001A5948"/>
    <w:rsid w:val="001A60BB"/>
    <w:rsid w:val="001A7EA9"/>
    <w:rsid w:val="001B31CB"/>
    <w:rsid w:val="001B5CB5"/>
    <w:rsid w:val="001C04A8"/>
    <w:rsid w:val="001C25D5"/>
    <w:rsid w:val="001C4C1C"/>
    <w:rsid w:val="001D0DCE"/>
    <w:rsid w:val="001D1B00"/>
    <w:rsid w:val="001D27D7"/>
    <w:rsid w:val="001D3AE4"/>
    <w:rsid w:val="001E0E27"/>
    <w:rsid w:val="001E0F48"/>
    <w:rsid w:val="001E2441"/>
    <w:rsid w:val="001E38A4"/>
    <w:rsid w:val="001E708C"/>
    <w:rsid w:val="001F05B5"/>
    <w:rsid w:val="001F1B93"/>
    <w:rsid w:val="001F65F1"/>
    <w:rsid w:val="001F6B5B"/>
    <w:rsid w:val="001F786A"/>
    <w:rsid w:val="0020214B"/>
    <w:rsid w:val="002076E7"/>
    <w:rsid w:val="002111BC"/>
    <w:rsid w:val="00211B0E"/>
    <w:rsid w:val="0022653C"/>
    <w:rsid w:val="002274E0"/>
    <w:rsid w:val="0023495C"/>
    <w:rsid w:val="00240F72"/>
    <w:rsid w:val="00243DEC"/>
    <w:rsid w:val="0024447E"/>
    <w:rsid w:val="00246E57"/>
    <w:rsid w:val="00252D6F"/>
    <w:rsid w:val="002567DE"/>
    <w:rsid w:val="00265F72"/>
    <w:rsid w:val="0026782F"/>
    <w:rsid w:val="00272259"/>
    <w:rsid w:val="0027729A"/>
    <w:rsid w:val="00277F5C"/>
    <w:rsid w:val="00282923"/>
    <w:rsid w:val="00283C00"/>
    <w:rsid w:val="00284CC3"/>
    <w:rsid w:val="002901C8"/>
    <w:rsid w:val="002908F5"/>
    <w:rsid w:val="00292D0C"/>
    <w:rsid w:val="00292D88"/>
    <w:rsid w:val="00295C81"/>
    <w:rsid w:val="002A58D9"/>
    <w:rsid w:val="002A72F0"/>
    <w:rsid w:val="002B43FD"/>
    <w:rsid w:val="002B4B00"/>
    <w:rsid w:val="002C6CB8"/>
    <w:rsid w:val="002C6FFF"/>
    <w:rsid w:val="002D7EC2"/>
    <w:rsid w:val="002E3965"/>
    <w:rsid w:val="00302128"/>
    <w:rsid w:val="0030390B"/>
    <w:rsid w:val="003050B0"/>
    <w:rsid w:val="00307541"/>
    <w:rsid w:val="00320F31"/>
    <w:rsid w:val="00325D4A"/>
    <w:rsid w:val="00327756"/>
    <w:rsid w:val="003322A0"/>
    <w:rsid w:val="00332737"/>
    <w:rsid w:val="00334473"/>
    <w:rsid w:val="00340934"/>
    <w:rsid w:val="003500DB"/>
    <w:rsid w:val="00350C35"/>
    <w:rsid w:val="00350DBC"/>
    <w:rsid w:val="0035626C"/>
    <w:rsid w:val="003576D3"/>
    <w:rsid w:val="00357A2D"/>
    <w:rsid w:val="0036410F"/>
    <w:rsid w:val="0037149D"/>
    <w:rsid w:val="0037465D"/>
    <w:rsid w:val="00374858"/>
    <w:rsid w:val="00375935"/>
    <w:rsid w:val="0038133D"/>
    <w:rsid w:val="0038171A"/>
    <w:rsid w:val="00387F5D"/>
    <w:rsid w:val="0039049B"/>
    <w:rsid w:val="00390B67"/>
    <w:rsid w:val="00391B38"/>
    <w:rsid w:val="0039304A"/>
    <w:rsid w:val="003938FF"/>
    <w:rsid w:val="00393A1C"/>
    <w:rsid w:val="003967D7"/>
    <w:rsid w:val="003A3762"/>
    <w:rsid w:val="003A616C"/>
    <w:rsid w:val="003B56AA"/>
    <w:rsid w:val="003B6613"/>
    <w:rsid w:val="003B6E4D"/>
    <w:rsid w:val="003C2ED2"/>
    <w:rsid w:val="003C5271"/>
    <w:rsid w:val="003C5C9A"/>
    <w:rsid w:val="003C5EE9"/>
    <w:rsid w:val="003D00FA"/>
    <w:rsid w:val="003D30DA"/>
    <w:rsid w:val="003D7192"/>
    <w:rsid w:val="003D7E55"/>
    <w:rsid w:val="003E4D07"/>
    <w:rsid w:val="003E4F2D"/>
    <w:rsid w:val="003E5FFE"/>
    <w:rsid w:val="003E7FE3"/>
    <w:rsid w:val="003F23CE"/>
    <w:rsid w:val="00401145"/>
    <w:rsid w:val="00401D99"/>
    <w:rsid w:val="004127AB"/>
    <w:rsid w:val="00412F6F"/>
    <w:rsid w:val="0041410C"/>
    <w:rsid w:val="004237BE"/>
    <w:rsid w:val="00430235"/>
    <w:rsid w:val="00431D98"/>
    <w:rsid w:val="00435877"/>
    <w:rsid w:val="004370BE"/>
    <w:rsid w:val="00447144"/>
    <w:rsid w:val="0045270B"/>
    <w:rsid w:val="004536ED"/>
    <w:rsid w:val="004544F6"/>
    <w:rsid w:val="0045589A"/>
    <w:rsid w:val="00467B5D"/>
    <w:rsid w:val="00471A9D"/>
    <w:rsid w:val="00474407"/>
    <w:rsid w:val="0047599E"/>
    <w:rsid w:val="00476B98"/>
    <w:rsid w:val="00481BFF"/>
    <w:rsid w:val="0048368C"/>
    <w:rsid w:val="00484F39"/>
    <w:rsid w:val="00490B1F"/>
    <w:rsid w:val="004916F8"/>
    <w:rsid w:val="004935DC"/>
    <w:rsid w:val="004A45E2"/>
    <w:rsid w:val="004B1A34"/>
    <w:rsid w:val="004B2FFE"/>
    <w:rsid w:val="004B3B14"/>
    <w:rsid w:val="004B4D8C"/>
    <w:rsid w:val="004C2A8E"/>
    <w:rsid w:val="004C302F"/>
    <w:rsid w:val="004C6DCB"/>
    <w:rsid w:val="004D0221"/>
    <w:rsid w:val="004D0DAE"/>
    <w:rsid w:val="004D21D5"/>
    <w:rsid w:val="004D5163"/>
    <w:rsid w:val="004D6F49"/>
    <w:rsid w:val="004F0C40"/>
    <w:rsid w:val="004F37C2"/>
    <w:rsid w:val="004F44AC"/>
    <w:rsid w:val="00501CEB"/>
    <w:rsid w:val="005045D6"/>
    <w:rsid w:val="00505461"/>
    <w:rsid w:val="00505A0D"/>
    <w:rsid w:val="00505A9F"/>
    <w:rsid w:val="00506AE8"/>
    <w:rsid w:val="005077AC"/>
    <w:rsid w:val="00510B8E"/>
    <w:rsid w:val="0051320C"/>
    <w:rsid w:val="00522ED7"/>
    <w:rsid w:val="005243CE"/>
    <w:rsid w:val="00526229"/>
    <w:rsid w:val="00527C4B"/>
    <w:rsid w:val="00532AFC"/>
    <w:rsid w:val="00532B85"/>
    <w:rsid w:val="00540C27"/>
    <w:rsid w:val="0054158A"/>
    <w:rsid w:val="00541913"/>
    <w:rsid w:val="00541C89"/>
    <w:rsid w:val="005426B2"/>
    <w:rsid w:val="00547FCB"/>
    <w:rsid w:val="00550419"/>
    <w:rsid w:val="0055326F"/>
    <w:rsid w:val="00557EC3"/>
    <w:rsid w:val="005601B9"/>
    <w:rsid w:val="0056033E"/>
    <w:rsid w:val="00561478"/>
    <w:rsid w:val="00562D9B"/>
    <w:rsid w:val="005639AD"/>
    <w:rsid w:val="005718F6"/>
    <w:rsid w:val="0057515C"/>
    <w:rsid w:val="00575580"/>
    <w:rsid w:val="00577A5D"/>
    <w:rsid w:val="0058306A"/>
    <w:rsid w:val="00583A0F"/>
    <w:rsid w:val="0058606E"/>
    <w:rsid w:val="00591767"/>
    <w:rsid w:val="00592151"/>
    <w:rsid w:val="00596A14"/>
    <w:rsid w:val="00596C9D"/>
    <w:rsid w:val="005A3DD3"/>
    <w:rsid w:val="005B4BD9"/>
    <w:rsid w:val="005B6515"/>
    <w:rsid w:val="005C1B12"/>
    <w:rsid w:val="005C5916"/>
    <w:rsid w:val="005D0714"/>
    <w:rsid w:val="005D2A97"/>
    <w:rsid w:val="005D5184"/>
    <w:rsid w:val="005D5737"/>
    <w:rsid w:val="005D609E"/>
    <w:rsid w:val="005D6725"/>
    <w:rsid w:val="005D74C3"/>
    <w:rsid w:val="005E1EB3"/>
    <w:rsid w:val="005E2077"/>
    <w:rsid w:val="005E3072"/>
    <w:rsid w:val="005E4F85"/>
    <w:rsid w:val="005E504A"/>
    <w:rsid w:val="005F23DE"/>
    <w:rsid w:val="005F6FE5"/>
    <w:rsid w:val="00600E1C"/>
    <w:rsid w:val="00607F2C"/>
    <w:rsid w:val="00611EA4"/>
    <w:rsid w:val="006166C7"/>
    <w:rsid w:val="00622025"/>
    <w:rsid w:val="00624E96"/>
    <w:rsid w:val="00642B42"/>
    <w:rsid w:val="00646AA0"/>
    <w:rsid w:val="00646B5B"/>
    <w:rsid w:val="006550C5"/>
    <w:rsid w:val="006555DD"/>
    <w:rsid w:val="00670212"/>
    <w:rsid w:val="006729E2"/>
    <w:rsid w:val="00674E0C"/>
    <w:rsid w:val="00675BC9"/>
    <w:rsid w:val="0068338D"/>
    <w:rsid w:val="00683EED"/>
    <w:rsid w:val="0068661F"/>
    <w:rsid w:val="006949F5"/>
    <w:rsid w:val="006B0B5F"/>
    <w:rsid w:val="006B2A18"/>
    <w:rsid w:val="006C0EC3"/>
    <w:rsid w:val="006C39D8"/>
    <w:rsid w:val="006C6A41"/>
    <w:rsid w:val="006C6E2E"/>
    <w:rsid w:val="006D0D78"/>
    <w:rsid w:val="006D7807"/>
    <w:rsid w:val="006D7BC3"/>
    <w:rsid w:val="006E64BD"/>
    <w:rsid w:val="006E6920"/>
    <w:rsid w:val="006E7ACC"/>
    <w:rsid w:val="006F3618"/>
    <w:rsid w:val="006F562B"/>
    <w:rsid w:val="006F7ACC"/>
    <w:rsid w:val="007011BB"/>
    <w:rsid w:val="00701C75"/>
    <w:rsid w:val="00701FA6"/>
    <w:rsid w:val="0070447B"/>
    <w:rsid w:val="007049BD"/>
    <w:rsid w:val="0071037F"/>
    <w:rsid w:val="00712921"/>
    <w:rsid w:val="00714FB8"/>
    <w:rsid w:val="007161CB"/>
    <w:rsid w:val="00717CC6"/>
    <w:rsid w:val="00724007"/>
    <w:rsid w:val="00725527"/>
    <w:rsid w:val="007256D1"/>
    <w:rsid w:val="00725CFD"/>
    <w:rsid w:val="00730329"/>
    <w:rsid w:val="00731BB3"/>
    <w:rsid w:val="00735262"/>
    <w:rsid w:val="00735AA6"/>
    <w:rsid w:val="00742D2F"/>
    <w:rsid w:val="00753F2B"/>
    <w:rsid w:val="0076564B"/>
    <w:rsid w:val="0077711F"/>
    <w:rsid w:val="007771C1"/>
    <w:rsid w:val="00781CBC"/>
    <w:rsid w:val="007822E6"/>
    <w:rsid w:val="00784A23"/>
    <w:rsid w:val="0079458C"/>
    <w:rsid w:val="007A091D"/>
    <w:rsid w:val="007A52F2"/>
    <w:rsid w:val="007A5C32"/>
    <w:rsid w:val="007A6C75"/>
    <w:rsid w:val="007B0F14"/>
    <w:rsid w:val="007B1079"/>
    <w:rsid w:val="007B4FEA"/>
    <w:rsid w:val="007B752C"/>
    <w:rsid w:val="007B7DA9"/>
    <w:rsid w:val="007C0B58"/>
    <w:rsid w:val="007C2EF3"/>
    <w:rsid w:val="007C5A1C"/>
    <w:rsid w:val="007C5B8E"/>
    <w:rsid w:val="007C5C6F"/>
    <w:rsid w:val="007C7608"/>
    <w:rsid w:val="007D1F5D"/>
    <w:rsid w:val="007D6B1C"/>
    <w:rsid w:val="007D7AF1"/>
    <w:rsid w:val="007E0612"/>
    <w:rsid w:val="007E22AB"/>
    <w:rsid w:val="007E34A4"/>
    <w:rsid w:val="007E386B"/>
    <w:rsid w:val="007E714C"/>
    <w:rsid w:val="007E73A7"/>
    <w:rsid w:val="007F196E"/>
    <w:rsid w:val="007F78C2"/>
    <w:rsid w:val="0080497D"/>
    <w:rsid w:val="0080687F"/>
    <w:rsid w:val="008108E1"/>
    <w:rsid w:val="008118EE"/>
    <w:rsid w:val="00814209"/>
    <w:rsid w:val="00821825"/>
    <w:rsid w:val="00832F78"/>
    <w:rsid w:val="00835A22"/>
    <w:rsid w:val="00843373"/>
    <w:rsid w:val="00845815"/>
    <w:rsid w:val="0084779F"/>
    <w:rsid w:val="008500EF"/>
    <w:rsid w:val="008514B6"/>
    <w:rsid w:val="00853930"/>
    <w:rsid w:val="00856121"/>
    <w:rsid w:val="0085772A"/>
    <w:rsid w:val="00857F04"/>
    <w:rsid w:val="008607ED"/>
    <w:rsid w:val="00871A4B"/>
    <w:rsid w:val="00880773"/>
    <w:rsid w:val="008825A9"/>
    <w:rsid w:val="00886C82"/>
    <w:rsid w:val="00892F69"/>
    <w:rsid w:val="008949B8"/>
    <w:rsid w:val="008975B6"/>
    <w:rsid w:val="008A0D6C"/>
    <w:rsid w:val="008A34A8"/>
    <w:rsid w:val="008A5F7E"/>
    <w:rsid w:val="008A7655"/>
    <w:rsid w:val="008B07B7"/>
    <w:rsid w:val="008C2367"/>
    <w:rsid w:val="008C590A"/>
    <w:rsid w:val="008C705E"/>
    <w:rsid w:val="008E09F9"/>
    <w:rsid w:val="008E451D"/>
    <w:rsid w:val="008E509F"/>
    <w:rsid w:val="008E52A7"/>
    <w:rsid w:val="008E7BDE"/>
    <w:rsid w:val="008F08D2"/>
    <w:rsid w:val="008F1F08"/>
    <w:rsid w:val="008F3F75"/>
    <w:rsid w:val="00903B88"/>
    <w:rsid w:val="00907649"/>
    <w:rsid w:val="00912839"/>
    <w:rsid w:val="00913F71"/>
    <w:rsid w:val="00913F7F"/>
    <w:rsid w:val="00915B2D"/>
    <w:rsid w:val="009264DC"/>
    <w:rsid w:val="009277ED"/>
    <w:rsid w:val="00930CFD"/>
    <w:rsid w:val="009315C6"/>
    <w:rsid w:val="00931F0A"/>
    <w:rsid w:val="009360F1"/>
    <w:rsid w:val="00937D3C"/>
    <w:rsid w:val="00940312"/>
    <w:rsid w:val="00946D71"/>
    <w:rsid w:val="00947AEB"/>
    <w:rsid w:val="00950267"/>
    <w:rsid w:val="009519E8"/>
    <w:rsid w:val="00953E3A"/>
    <w:rsid w:val="00953FC2"/>
    <w:rsid w:val="0095514F"/>
    <w:rsid w:val="00956408"/>
    <w:rsid w:val="009566A4"/>
    <w:rsid w:val="00963AE2"/>
    <w:rsid w:val="009674A0"/>
    <w:rsid w:val="00974E55"/>
    <w:rsid w:val="00975873"/>
    <w:rsid w:val="0098778F"/>
    <w:rsid w:val="009903A4"/>
    <w:rsid w:val="00990C0D"/>
    <w:rsid w:val="00990EB3"/>
    <w:rsid w:val="00992B28"/>
    <w:rsid w:val="00993033"/>
    <w:rsid w:val="009967F9"/>
    <w:rsid w:val="009A1F98"/>
    <w:rsid w:val="009A2FF5"/>
    <w:rsid w:val="009A326B"/>
    <w:rsid w:val="009A4128"/>
    <w:rsid w:val="009A4B7C"/>
    <w:rsid w:val="009A6488"/>
    <w:rsid w:val="009A7827"/>
    <w:rsid w:val="009B30BF"/>
    <w:rsid w:val="009B43C8"/>
    <w:rsid w:val="009C1538"/>
    <w:rsid w:val="009C1BA0"/>
    <w:rsid w:val="009D13B2"/>
    <w:rsid w:val="009D2189"/>
    <w:rsid w:val="009D3C8B"/>
    <w:rsid w:val="009E04EF"/>
    <w:rsid w:val="009E4BBE"/>
    <w:rsid w:val="009E5365"/>
    <w:rsid w:val="009F0766"/>
    <w:rsid w:val="009F4EC8"/>
    <w:rsid w:val="00A05754"/>
    <w:rsid w:val="00A215B5"/>
    <w:rsid w:val="00A24C51"/>
    <w:rsid w:val="00A263A0"/>
    <w:rsid w:val="00A272AD"/>
    <w:rsid w:val="00A31DA6"/>
    <w:rsid w:val="00A336F9"/>
    <w:rsid w:val="00A40745"/>
    <w:rsid w:val="00A4237A"/>
    <w:rsid w:val="00A44FC9"/>
    <w:rsid w:val="00A52E3F"/>
    <w:rsid w:val="00A5578D"/>
    <w:rsid w:val="00A573EE"/>
    <w:rsid w:val="00A62A7D"/>
    <w:rsid w:val="00A62EB5"/>
    <w:rsid w:val="00A63343"/>
    <w:rsid w:val="00A65B9F"/>
    <w:rsid w:val="00A66C18"/>
    <w:rsid w:val="00A7571E"/>
    <w:rsid w:val="00A779EA"/>
    <w:rsid w:val="00A77C16"/>
    <w:rsid w:val="00A81488"/>
    <w:rsid w:val="00A83EFB"/>
    <w:rsid w:val="00A85B3E"/>
    <w:rsid w:val="00A868F6"/>
    <w:rsid w:val="00A90E5B"/>
    <w:rsid w:val="00A9241F"/>
    <w:rsid w:val="00A93132"/>
    <w:rsid w:val="00A94BAC"/>
    <w:rsid w:val="00A96BA7"/>
    <w:rsid w:val="00AA0EED"/>
    <w:rsid w:val="00AA143C"/>
    <w:rsid w:val="00AA31F7"/>
    <w:rsid w:val="00AA6B91"/>
    <w:rsid w:val="00AA70D1"/>
    <w:rsid w:val="00AB131E"/>
    <w:rsid w:val="00AB2617"/>
    <w:rsid w:val="00AB7CE9"/>
    <w:rsid w:val="00AC3E14"/>
    <w:rsid w:val="00AC549F"/>
    <w:rsid w:val="00AC66A8"/>
    <w:rsid w:val="00AC7586"/>
    <w:rsid w:val="00AE071C"/>
    <w:rsid w:val="00AE19A4"/>
    <w:rsid w:val="00AE2138"/>
    <w:rsid w:val="00AE27D2"/>
    <w:rsid w:val="00AE6118"/>
    <w:rsid w:val="00AF5861"/>
    <w:rsid w:val="00AF7561"/>
    <w:rsid w:val="00AF764E"/>
    <w:rsid w:val="00B01568"/>
    <w:rsid w:val="00B0627C"/>
    <w:rsid w:val="00B06FC4"/>
    <w:rsid w:val="00B070A3"/>
    <w:rsid w:val="00B15124"/>
    <w:rsid w:val="00B1567C"/>
    <w:rsid w:val="00B17B9B"/>
    <w:rsid w:val="00B24D72"/>
    <w:rsid w:val="00B27BD5"/>
    <w:rsid w:val="00B27D9C"/>
    <w:rsid w:val="00B30ABB"/>
    <w:rsid w:val="00B319CF"/>
    <w:rsid w:val="00B33314"/>
    <w:rsid w:val="00B33D2C"/>
    <w:rsid w:val="00B35925"/>
    <w:rsid w:val="00B36A17"/>
    <w:rsid w:val="00B453B2"/>
    <w:rsid w:val="00B51360"/>
    <w:rsid w:val="00B55685"/>
    <w:rsid w:val="00B573F4"/>
    <w:rsid w:val="00B575ED"/>
    <w:rsid w:val="00B5778B"/>
    <w:rsid w:val="00B604A9"/>
    <w:rsid w:val="00B626A4"/>
    <w:rsid w:val="00B63A28"/>
    <w:rsid w:val="00B65F3A"/>
    <w:rsid w:val="00B74EED"/>
    <w:rsid w:val="00B80739"/>
    <w:rsid w:val="00B81B06"/>
    <w:rsid w:val="00B81B1D"/>
    <w:rsid w:val="00B81D68"/>
    <w:rsid w:val="00B86BB9"/>
    <w:rsid w:val="00B96E18"/>
    <w:rsid w:val="00BA3974"/>
    <w:rsid w:val="00BA4C64"/>
    <w:rsid w:val="00BA506F"/>
    <w:rsid w:val="00BA6FBA"/>
    <w:rsid w:val="00BA7D34"/>
    <w:rsid w:val="00BA7EBD"/>
    <w:rsid w:val="00BB21C5"/>
    <w:rsid w:val="00BB6A8E"/>
    <w:rsid w:val="00BB75BF"/>
    <w:rsid w:val="00BC057E"/>
    <w:rsid w:val="00BC1176"/>
    <w:rsid w:val="00BC298F"/>
    <w:rsid w:val="00BC42FB"/>
    <w:rsid w:val="00BC6401"/>
    <w:rsid w:val="00BD2B1F"/>
    <w:rsid w:val="00BE3FA8"/>
    <w:rsid w:val="00BE509E"/>
    <w:rsid w:val="00BE522D"/>
    <w:rsid w:val="00BE7ACB"/>
    <w:rsid w:val="00BF09B6"/>
    <w:rsid w:val="00BF1B65"/>
    <w:rsid w:val="00BF2F77"/>
    <w:rsid w:val="00BF3AAD"/>
    <w:rsid w:val="00BF470E"/>
    <w:rsid w:val="00BF6BB3"/>
    <w:rsid w:val="00C00015"/>
    <w:rsid w:val="00C0203A"/>
    <w:rsid w:val="00C04014"/>
    <w:rsid w:val="00C0515E"/>
    <w:rsid w:val="00C10862"/>
    <w:rsid w:val="00C13BBC"/>
    <w:rsid w:val="00C14C3A"/>
    <w:rsid w:val="00C23087"/>
    <w:rsid w:val="00C2524A"/>
    <w:rsid w:val="00C32418"/>
    <w:rsid w:val="00C3394D"/>
    <w:rsid w:val="00C410EE"/>
    <w:rsid w:val="00C42BFA"/>
    <w:rsid w:val="00C45FF3"/>
    <w:rsid w:val="00C47026"/>
    <w:rsid w:val="00C57380"/>
    <w:rsid w:val="00C6443E"/>
    <w:rsid w:val="00C70B6B"/>
    <w:rsid w:val="00C720B4"/>
    <w:rsid w:val="00C72B95"/>
    <w:rsid w:val="00C81C41"/>
    <w:rsid w:val="00C87C96"/>
    <w:rsid w:val="00C93B14"/>
    <w:rsid w:val="00C95078"/>
    <w:rsid w:val="00C96E65"/>
    <w:rsid w:val="00CA2DA5"/>
    <w:rsid w:val="00CA3B40"/>
    <w:rsid w:val="00CA5EBC"/>
    <w:rsid w:val="00CA7DE4"/>
    <w:rsid w:val="00CB69D2"/>
    <w:rsid w:val="00CB7215"/>
    <w:rsid w:val="00CB758B"/>
    <w:rsid w:val="00CC5E6D"/>
    <w:rsid w:val="00CD2C57"/>
    <w:rsid w:val="00CD3D7C"/>
    <w:rsid w:val="00CD3E87"/>
    <w:rsid w:val="00CD50BF"/>
    <w:rsid w:val="00CD610A"/>
    <w:rsid w:val="00CE038A"/>
    <w:rsid w:val="00CE18C1"/>
    <w:rsid w:val="00CE3F56"/>
    <w:rsid w:val="00CE46D7"/>
    <w:rsid w:val="00CE52D8"/>
    <w:rsid w:val="00CE5F36"/>
    <w:rsid w:val="00CF0A1F"/>
    <w:rsid w:val="00CF6D20"/>
    <w:rsid w:val="00D012ED"/>
    <w:rsid w:val="00D0441B"/>
    <w:rsid w:val="00D04F16"/>
    <w:rsid w:val="00D06823"/>
    <w:rsid w:val="00D1485A"/>
    <w:rsid w:val="00D15767"/>
    <w:rsid w:val="00D25894"/>
    <w:rsid w:val="00D33D7F"/>
    <w:rsid w:val="00D4011D"/>
    <w:rsid w:val="00D413D3"/>
    <w:rsid w:val="00D41C34"/>
    <w:rsid w:val="00D41CF4"/>
    <w:rsid w:val="00D424EB"/>
    <w:rsid w:val="00D54199"/>
    <w:rsid w:val="00D55C67"/>
    <w:rsid w:val="00D57088"/>
    <w:rsid w:val="00D57D00"/>
    <w:rsid w:val="00D61218"/>
    <w:rsid w:val="00D63CDE"/>
    <w:rsid w:val="00D65ACD"/>
    <w:rsid w:val="00D65E3E"/>
    <w:rsid w:val="00D77E53"/>
    <w:rsid w:val="00D8310C"/>
    <w:rsid w:val="00D837D7"/>
    <w:rsid w:val="00D8505F"/>
    <w:rsid w:val="00D87780"/>
    <w:rsid w:val="00D940F2"/>
    <w:rsid w:val="00D9457C"/>
    <w:rsid w:val="00D9750E"/>
    <w:rsid w:val="00D97F7D"/>
    <w:rsid w:val="00DA0054"/>
    <w:rsid w:val="00DA696E"/>
    <w:rsid w:val="00DB1004"/>
    <w:rsid w:val="00DB37CF"/>
    <w:rsid w:val="00DB4766"/>
    <w:rsid w:val="00DB52D1"/>
    <w:rsid w:val="00DB5B50"/>
    <w:rsid w:val="00DB791D"/>
    <w:rsid w:val="00DC1277"/>
    <w:rsid w:val="00DC6E57"/>
    <w:rsid w:val="00DD0288"/>
    <w:rsid w:val="00DD0D8F"/>
    <w:rsid w:val="00DD3B1C"/>
    <w:rsid w:val="00DD4C81"/>
    <w:rsid w:val="00DD6E8F"/>
    <w:rsid w:val="00DD710A"/>
    <w:rsid w:val="00DD75CD"/>
    <w:rsid w:val="00DE65F5"/>
    <w:rsid w:val="00DE68A2"/>
    <w:rsid w:val="00DE6CC2"/>
    <w:rsid w:val="00DF26D2"/>
    <w:rsid w:val="00DF5551"/>
    <w:rsid w:val="00E0196D"/>
    <w:rsid w:val="00E1320C"/>
    <w:rsid w:val="00E14370"/>
    <w:rsid w:val="00E16375"/>
    <w:rsid w:val="00E22E68"/>
    <w:rsid w:val="00E36062"/>
    <w:rsid w:val="00E36341"/>
    <w:rsid w:val="00E37BCE"/>
    <w:rsid w:val="00E40A83"/>
    <w:rsid w:val="00E40DEB"/>
    <w:rsid w:val="00E4603C"/>
    <w:rsid w:val="00E46374"/>
    <w:rsid w:val="00E47DDD"/>
    <w:rsid w:val="00E527B0"/>
    <w:rsid w:val="00E530E5"/>
    <w:rsid w:val="00E53F20"/>
    <w:rsid w:val="00E60E00"/>
    <w:rsid w:val="00E665ED"/>
    <w:rsid w:val="00E7256F"/>
    <w:rsid w:val="00E7457A"/>
    <w:rsid w:val="00E80DFE"/>
    <w:rsid w:val="00E8126F"/>
    <w:rsid w:val="00E81E22"/>
    <w:rsid w:val="00E862A5"/>
    <w:rsid w:val="00E869F4"/>
    <w:rsid w:val="00E9071B"/>
    <w:rsid w:val="00E90E67"/>
    <w:rsid w:val="00E91066"/>
    <w:rsid w:val="00E9110A"/>
    <w:rsid w:val="00E913DB"/>
    <w:rsid w:val="00E97CD6"/>
    <w:rsid w:val="00EA179E"/>
    <w:rsid w:val="00EA7830"/>
    <w:rsid w:val="00EB340A"/>
    <w:rsid w:val="00EB3A47"/>
    <w:rsid w:val="00EC0D20"/>
    <w:rsid w:val="00EC1C9B"/>
    <w:rsid w:val="00EC64CD"/>
    <w:rsid w:val="00EC6DAA"/>
    <w:rsid w:val="00EE1780"/>
    <w:rsid w:val="00EE17A7"/>
    <w:rsid w:val="00EE5523"/>
    <w:rsid w:val="00EE7020"/>
    <w:rsid w:val="00EE7396"/>
    <w:rsid w:val="00EF090E"/>
    <w:rsid w:val="00EF6653"/>
    <w:rsid w:val="00F001D7"/>
    <w:rsid w:val="00F01430"/>
    <w:rsid w:val="00F02E54"/>
    <w:rsid w:val="00F03A10"/>
    <w:rsid w:val="00F05990"/>
    <w:rsid w:val="00F067D6"/>
    <w:rsid w:val="00F06F69"/>
    <w:rsid w:val="00F070E6"/>
    <w:rsid w:val="00F117AA"/>
    <w:rsid w:val="00F1311E"/>
    <w:rsid w:val="00F165B8"/>
    <w:rsid w:val="00F210BF"/>
    <w:rsid w:val="00F30FD8"/>
    <w:rsid w:val="00F31B91"/>
    <w:rsid w:val="00F36167"/>
    <w:rsid w:val="00F4633C"/>
    <w:rsid w:val="00F4764E"/>
    <w:rsid w:val="00F51E55"/>
    <w:rsid w:val="00F56ADD"/>
    <w:rsid w:val="00F57541"/>
    <w:rsid w:val="00F61FCC"/>
    <w:rsid w:val="00F721A2"/>
    <w:rsid w:val="00F72597"/>
    <w:rsid w:val="00F727D6"/>
    <w:rsid w:val="00F76677"/>
    <w:rsid w:val="00F769A5"/>
    <w:rsid w:val="00F80F3F"/>
    <w:rsid w:val="00F818F9"/>
    <w:rsid w:val="00F832C4"/>
    <w:rsid w:val="00F83D1D"/>
    <w:rsid w:val="00F842FE"/>
    <w:rsid w:val="00F86702"/>
    <w:rsid w:val="00F8685F"/>
    <w:rsid w:val="00F93EA6"/>
    <w:rsid w:val="00F94EB6"/>
    <w:rsid w:val="00F974E3"/>
    <w:rsid w:val="00FA1C25"/>
    <w:rsid w:val="00FB0A14"/>
    <w:rsid w:val="00FB2D61"/>
    <w:rsid w:val="00FB4F1C"/>
    <w:rsid w:val="00FB7F57"/>
    <w:rsid w:val="00FC0992"/>
    <w:rsid w:val="00FC4A4F"/>
    <w:rsid w:val="00FC6FE9"/>
    <w:rsid w:val="00FD23E9"/>
    <w:rsid w:val="00FD604A"/>
    <w:rsid w:val="00FD6E85"/>
    <w:rsid w:val="00FD7148"/>
    <w:rsid w:val="00FE0DFD"/>
    <w:rsid w:val="00FE15EB"/>
    <w:rsid w:val="00FE1E7F"/>
    <w:rsid w:val="00FE2F0B"/>
    <w:rsid w:val="00FF0EF3"/>
    <w:rsid w:val="00FF29B0"/>
    <w:rsid w:val="00FF3077"/>
    <w:rsid w:val="00FF7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E5D32A"/>
  <w15:chartTrackingRefBased/>
  <w15:docId w15:val="{65C602C4-6B0D-A246-BD8C-67977C3F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6BB9"/>
    <w:pPr>
      <w:spacing w:after="120" w:line="228" w:lineRule="auto"/>
      <w:ind w:firstLine="288"/>
      <w:jc w:val="both"/>
    </w:pPr>
  </w:style>
  <w:style w:type="paragraph" w:styleId="Heading1">
    <w:name w:val="heading 1"/>
    <w:basedOn w:val="Normal"/>
    <w:next w:val="Normal"/>
    <w:autoRedefine/>
    <w:qFormat/>
    <w:rsid w:val="0013606F"/>
    <w:pPr>
      <w:keepNext/>
      <w:keepLines/>
      <w:numPr>
        <w:numId w:val="20"/>
      </w:numPr>
      <w:tabs>
        <w:tab w:val="left" w:pos="216"/>
      </w:tabs>
      <w:spacing w:before="80" w:after="80"/>
      <w:outlineLvl w:val="0"/>
    </w:pPr>
    <w:rPr>
      <w:rFonts w:eastAsia="MS Mincho"/>
      <w:smallCaps/>
      <w:noProof/>
      <w:color w:val="FF0000"/>
    </w:rPr>
  </w:style>
  <w:style w:type="paragraph" w:styleId="Heading2">
    <w:name w:val="heading 2"/>
    <w:basedOn w:val="Normal"/>
    <w:next w:val="Normal"/>
    <w:autoRedefine/>
    <w:qFormat/>
    <w:rsid w:val="00197F85"/>
    <w:pPr>
      <w:keepNext/>
      <w:keepLines/>
      <w:numPr>
        <w:ilvl w:val="1"/>
        <w:numId w:val="20"/>
      </w:numPr>
      <w:spacing w:before="60" w:after="60"/>
      <w:jc w:val="left"/>
      <w:outlineLvl w:val="1"/>
    </w:pPr>
    <w:rPr>
      <w:rFonts w:eastAsia="MS Mincho"/>
      <w:i/>
      <w:iCs/>
      <w:noProof/>
      <w:color w:val="000000"/>
    </w:rPr>
  </w:style>
  <w:style w:type="paragraph" w:styleId="Heading3">
    <w:name w:val="heading 3"/>
    <w:basedOn w:val="Normal"/>
    <w:next w:val="Normal"/>
    <w:qFormat/>
    <w:pPr>
      <w:spacing w:line="240" w:lineRule="exact"/>
      <w:ind w:firstLine="0"/>
      <w:outlineLvl w:val="2"/>
    </w:pPr>
    <w:rPr>
      <w:i/>
      <w:iCs/>
      <w:noProof/>
    </w:rPr>
  </w:style>
  <w:style w:type="paragraph" w:styleId="Heading4">
    <w:name w:val="heading 4"/>
    <w:basedOn w:val="Normal"/>
    <w:next w:val="Normal"/>
    <w:qFormat/>
    <w:pPr>
      <w:spacing w:before="40" w:after="40"/>
      <w:ind w:firstLine="0"/>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styleId="Header">
    <w:name w:val="header"/>
    <w:basedOn w:val="Normal"/>
    <w:link w:val="HeaderChar"/>
    <w:rsid w:val="00EC6DAA"/>
    <w:pPr>
      <w:tabs>
        <w:tab w:val="center" w:pos="4680"/>
        <w:tab w:val="right" w:pos="9360"/>
      </w:tabs>
    </w:pPr>
  </w:style>
  <w:style w:type="character" w:customStyle="1" w:styleId="HeaderChar">
    <w:name w:val="Header Char"/>
    <w:basedOn w:val="DefaultParagraphFont"/>
    <w:link w:val="Header"/>
    <w:rsid w:val="00EC6DAA"/>
  </w:style>
  <w:style w:type="paragraph" w:styleId="Footer">
    <w:name w:val="footer"/>
    <w:basedOn w:val="Normal"/>
    <w:link w:val="FooterChar"/>
    <w:uiPriority w:val="99"/>
    <w:rsid w:val="00EC6DAA"/>
    <w:pPr>
      <w:tabs>
        <w:tab w:val="center" w:pos="4680"/>
        <w:tab w:val="right" w:pos="9360"/>
      </w:tabs>
    </w:pPr>
  </w:style>
  <w:style w:type="character" w:customStyle="1" w:styleId="FooterChar">
    <w:name w:val="Footer Char"/>
    <w:basedOn w:val="DefaultParagraphFont"/>
    <w:link w:val="Footer"/>
    <w:uiPriority w:val="99"/>
    <w:rsid w:val="00EC6DAA"/>
  </w:style>
  <w:style w:type="paragraph" w:customStyle="1" w:styleId="Text">
    <w:name w:val="Text"/>
    <w:basedOn w:val="Normal"/>
    <w:rsid w:val="00EC6DAA"/>
    <w:pPr>
      <w:widowControl w:val="0"/>
      <w:spacing w:line="252" w:lineRule="auto"/>
      <w:ind w:firstLine="240"/>
    </w:pPr>
  </w:style>
  <w:style w:type="paragraph" w:customStyle="1" w:styleId="References0">
    <w:name w:val="References"/>
    <w:basedOn w:val="ListNumber"/>
    <w:rsid w:val="00EC6DAA"/>
    <w:pPr>
      <w:contextualSpacing w:val="0"/>
    </w:pPr>
    <w:rPr>
      <w:sz w:val="16"/>
    </w:rPr>
  </w:style>
  <w:style w:type="paragraph" w:styleId="ListNumber">
    <w:name w:val="List Number"/>
    <w:basedOn w:val="Normal"/>
    <w:rsid w:val="00EC6DAA"/>
    <w:pPr>
      <w:tabs>
        <w:tab w:val="num" w:pos="360"/>
      </w:tabs>
      <w:ind w:left="360" w:hanging="360"/>
      <w:contextualSpacing/>
    </w:pPr>
  </w:style>
  <w:style w:type="character" w:styleId="Strong">
    <w:name w:val="Strong"/>
    <w:qFormat/>
    <w:rsid w:val="004C6DCB"/>
    <w:rPr>
      <w:b/>
      <w:bCs/>
    </w:rPr>
  </w:style>
  <w:style w:type="paragraph" w:styleId="BalloonText">
    <w:name w:val="Balloon Text"/>
    <w:basedOn w:val="Normal"/>
    <w:link w:val="BalloonTextChar"/>
    <w:rsid w:val="00053ED1"/>
    <w:rPr>
      <w:rFonts w:ascii="Segoe UI" w:hAnsi="Segoe UI" w:cs="Segoe UI"/>
      <w:sz w:val="18"/>
      <w:szCs w:val="18"/>
    </w:rPr>
  </w:style>
  <w:style w:type="character" w:customStyle="1" w:styleId="BalloonTextChar">
    <w:name w:val="Balloon Text Char"/>
    <w:link w:val="BalloonText"/>
    <w:rsid w:val="00053ED1"/>
    <w:rPr>
      <w:rFonts w:ascii="Segoe UI" w:hAnsi="Segoe UI" w:cs="Segoe UI"/>
      <w:sz w:val="18"/>
      <w:szCs w:val="18"/>
    </w:rPr>
  </w:style>
  <w:style w:type="character" w:styleId="Hyperlink">
    <w:name w:val="Hyperlink"/>
    <w:rsid w:val="00053ED1"/>
    <w:rPr>
      <w:color w:val="0563C1"/>
      <w:u w:val="single"/>
    </w:rPr>
  </w:style>
  <w:style w:type="character" w:styleId="CommentReference">
    <w:name w:val="annotation reference"/>
    <w:rsid w:val="00053ED1"/>
    <w:rPr>
      <w:sz w:val="16"/>
      <w:szCs w:val="16"/>
    </w:rPr>
  </w:style>
  <w:style w:type="paragraph" w:styleId="CommentText">
    <w:name w:val="annotation text"/>
    <w:basedOn w:val="Normal"/>
    <w:link w:val="CommentTextChar"/>
    <w:rsid w:val="00053ED1"/>
  </w:style>
  <w:style w:type="character" w:customStyle="1" w:styleId="CommentTextChar">
    <w:name w:val="Comment Text Char"/>
    <w:basedOn w:val="DefaultParagraphFont"/>
    <w:link w:val="CommentText"/>
    <w:rsid w:val="00053ED1"/>
  </w:style>
  <w:style w:type="paragraph" w:styleId="CommentSubject">
    <w:name w:val="annotation subject"/>
    <w:basedOn w:val="CommentText"/>
    <w:next w:val="CommentText"/>
    <w:link w:val="CommentSubjectChar"/>
    <w:rsid w:val="00053ED1"/>
    <w:rPr>
      <w:b/>
      <w:bCs/>
    </w:rPr>
  </w:style>
  <w:style w:type="character" w:customStyle="1" w:styleId="CommentSubjectChar">
    <w:name w:val="Comment Subject Char"/>
    <w:link w:val="CommentSubject"/>
    <w:rsid w:val="00053ED1"/>
    <w:rPr>
      <w:b/>
      <w:bCs/>
    </w:rPr>
  </w:style>
  <w:style w:type="character" w:customStyle="1" w:styleId="BodyTextChar">
    <w:name w:val="Body Text Char"/>
    <w:link w:val="BodyText"/>
    <w:rsid w:val="00990EB3"/>
    <w:rPr>
      <w:spacing w:val="-1"/>
    </w:rPr>
  </w:style>
  <w:style w:type="character" w:customStyle="1" w:styleId="UnresolvedMention1">
    <w:name w:val="Unresolved Mention1"/>
    <w:uiPriority w:val="99"/>
    <w:semiHidden/>
    <w:unhideWhenUsed/>
    <w:rsid w:val="000E647C"/>
    <w:rPr>
      <w:color w:val="605E5C"/>
      <w:shd w:val="clear" w:color="auto" w:fill="E1DFDD"/>
    </w:rPr>
  </w:style>
  <w:style w:type="paragraph" w:styleId="Revision">
    <w:name w:val="Revision"/>
    <w:hidden/>
    <w:uiPriority w:val="99"/>
    <w:semiHidden/>
    <w:rsid w:val="005C5916"/>
  </w:style>
  <w:style w:type="numbering" w:customStyle="1" w:styleId="CurrentList1">
    <w:name w:val="Current List1"/>
    <w:rsid w:val="00FD604A"/>
    <w:pPr>
      <w:numPr>
        <w:numId w:val="14"/>
      </w:numPr>
    </w:pPr>
  </w:style>
  <w:style w:type="paragraph" w:customStyle="1" w:styleId="EndNoteBibliographyTitle">
    <w:name w:val="EndNote Bibliography Title"/>
    <w:basedOn w:val="Normal"/>
    <w:link w:val="EndNoteBibliographyTitleChar"/>
    <w:rsid w:val="00C95078"/>
    <w:rPr>
      <w:noProof/>
      <w:sz w:val="16"/>
    </w:rPr>
  </w:style>
  <w:style w:type="character" w:customStyle="1" w:styleId="EndNoteBibliographyTitleChar">
    <w:name w:val="EndNote Bibliography Title Char"/>
    <w:link w:val="EndNoteBibliographyTitle"/>
    <w:rsid w:val="00C95078"/>
    <w:rPr>
      <w:noProof/>
      <w:sz w:val="16"/>
    </w:rPr>
  </w:style>
  <w:style w:type="paragraph" w:customStyle="1" w:styleId="EndNoteBibliography">
    <w:name w:val="EndNote Bibliography"/>
    <w:basedOn w:val="Normal"/>
    <w:link w:val="EndNoteBibliographyChar"/>
    <w:rsid w:val="00C95078"/>
    <w:pPr>
      <w:spacing w:line="240" w:lineRule="auto"/>
    </w:pPr>
    <w:rPr>
      <w:noProof/>
      <w:sz w:val="16"/>
    </w:rPr>
  </w:style>
  <w:style w:type="character" w:customStyle="1" w:styleId="EndNoteBibliographyChar">
    <w:name w:val="EndNote Bibliography Char"/>
    <w:link w:val="EndNoteBibliography"/>
    <w:rsid w:val="00C95078"/>
    <w:rPr>
      <w:noProof/>
      <w:sz w:val="16"/>
    </w:rPr>
  </w:style>
  <w:style w:type="character" w:styleId="LineNumber">
    <w:name w:val="line number"/>
    <w:rsid w:val="00956408"/>
  </w:style>
  <w:style w:type="paragraph" w:styleId="Subtitle">
    <w:name w:val="Subtitle"/>
    <w:basedOn w:val="Normal"/>
    <w:next w:val="Normal"/>
    <w:link w:val="SubtitleChar"/>
    <w:autoRedefine/>
    <w:qFormat/>
    <w:rsid w:val="00A90E5B"/>
    <w:pPr>
      <w:numPr>
        <w:numId w:val="18"/>
      </w:numPr>
      <w:spacing w:line="360" w:lineRule="auto"/>
      <w:ind w:left="0" w:firstLine="0"/>
      <w:jc w:val="center"/>
      <w:outlineLvl w:val="1"/>
    </w:pPr>
    <w:rPr>
      <w:rFonts w:ascii="Calibri Light" w:hAnsi="Calibri Light"/>
      <w:i/>
      <w:sz w:val="18"/>
      <w:szCs w:val="24"/>
    </w:rPr>
  </w:style>
  <w:style w:type="character" w:customStyle="1" w:styleId="SubtitleChar">
    <w:name w:val="Subtitle Char"/>
    <w:link w:val="Subtitle"/>
    <w:rsid w:val="00A90E5B"/>
    <w:rPr>
      <w:rFonts w:ascii="Calibri Light" w:hAnsi="Calibri Light"/>
      <w:i/>
      <w:sz w:val="18"/>
      <w:szCs w:val="24"/>
    </w:rPr>
  </w:style>
  <w:style w:type="character" w:styleId="SubtleReference">
    <w:name w:val="Subtle Reference"/>
    <w:uiPriority w:val="31"/>
    <w:qFormat/>
    <w:rsid w:val="002A72F0"/>
    <w:rPr>
      <w:smallCaps/>
      <w:color w:val="5A5A5A"/>
    </w:rPr>
  </w:style>
  <w:style w:type="paragraph" w:styleId="NormalWeb">
    <w:name w:val="Normal (Web)"/>
    <w:basedOn w:val="Normal"/>
    <w:uiPriority w:val="99"/>
    <w:unhideWhenUsed/>
    <w:rsid w:val="00725CFD"/>
    <w:pPr>
      <w:spacing w:before="100" w:beforeAutospacing="1" w:after="100" w:afterAutospacing="1"/>
      <w:jc w:val="left"/>
    </w:pPr>
    <w:rPr>
      <w:sz w:val="24"/>
      <w:szCs w:val="24"/>
    </w:rPr>
  </w:style>
  <w:style w:type="paragraph" w:styleId="Quote">
    <w:name w:val="Quote"/>
    <w:basedOn w:val="Normal"/>
    <w:next w:val="Normal"/>
    <w:link w:val="QuoteChar"/>
    <w:uiPriority w:val="29"/>
    <w:qFormat/>
    <w:rsid w:val="007256D1"/>
    <w:pPr>
      <w:spacing w:before="200" w:after="160"/>
      <w:ind w:left="864" w:right="864"/>
    </w:pPr>
    <w:rPr>
      <w:i/>
      <w:iCs/>
      <w:color w:val="404040"/>
    </w:rPr>
  </w:style>
  <w:style w:type="character" w:customStyle="1" w:styleId="QuoteChar">
    <w:name w:val="Quote Char"/>
    <w:link w:val="Quote"/>
    <w:uiPriority w:val="29"/>
    <w:rsid w:val="007256D1"/>
    <w:rPr>
      <w:i/>
      <w:iCs/>
      <w:color w:val="404040"/>
    </w:rPr>
  </w:style>
  <w:style w:type="character" w:styleId="FollowedHyperlink">
    <w:name w:val="FollowedHyperlink"/>
    <w:rsid w:val="00BF1B65"/>
    <w:rPr>
      <w:color w:val="954F72"/>
      <w:u w:val="single"/>
    </w:rPr>
  </w:style>
  <w:style w:type="numbering" w:customStyle="1" w:styleId="CurrentList2">
    <w:name w:val="Current List2"/>
    <w:uiPriority w:val="99"/>
    <w:rsid w:val="00B51360"/>
    <w:pPr>
      <w:numPr>
        <w:numId w:val="26"/>
      </w:numPr>
    </w:pPr>
  </w:style>
  <w:style w:type="table" w:styleId="TableGrid">
    <w:name w:val="Table Grid"/>
    <w:basedOn w:val="TableNormal"/>
    <w:rsid w:val="00675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5B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44044">
      <w:bodyDiv w:val="1"/>
      <w:marLeft w:val="0"/>
      <w:marRight w:val="0"/>
      <w:marTop w:val="0"/>
      <w:marBottom w:val="0"/>
      <w:divBdr>
        <w:top w:val="none" w:sz="0" w:space="0" w:color="auto"/>
        <w:left w:val="none" w:sz="0" w:space="0" w:color="auto"/>
        <w:bottom w:val="none" w:sz="0" w:space="0" w:color="auto"/>
        <w:right w:val="none" w:sz="0" w:space="0" w:color="auto"/>
      </w:divBdr>
    </w:div>
    <w:div w:id="888418957">
      <w:bodyDiv w:val="1"/>
      <w:marLeft w:val="0"/>
      <w:marRight w:val="0"/>
      <w:marTop w:val="0"/>
      <w:marBottom w:val="0"/>
      <w:divBdr>
        <w:top w:val="none" w:sz="0" w:space="0" w:color="auto"/>
        <w:left w:val="none" w:sz="0" w:space="0" w:color="auto"/>
        <w:bottom w:val="none" w:sz="0" w:space="0" w:color="auto"/>
        <w:right w:val="none" w:sz="0" w:space="0" w:color="auto"/>
      </w:divBdr>
      <w:divsChild>
        <w:div w:id="1287279249">
          <w:marLeft w:val="0"/>
          <w:marRight w:val="0"/>
          <w:marTop w:val="0"/>
          <w:marBottom w:val="0"/>
          <w:divBdr>
            <w:top w:val="none" w:sz="0" w:space="0" w:color="auto"/>
            <w:left w:val="none" w:sz="0" w:space="0" w:color="auto"/>
            <w:bottom w:val="none" w:sz="0" w:space="0" w:color="auto"/>
            <w:right w:val="none" w:sz="0" w:space="0" w:color="auto"/>
          </w:divBdr>
          <w:divsChild>
            <w:div w:id="241110629">
              <w:marLeft w:val="0"/>
              <w:marRight w:val="0"/>
              <w:marTop w:val="0"/>
              <w:marBottom w:val="0"/>
              <w:divBdr>
                <w:top w:val="none" w:sz="0" w:space="0" w:color="auto"/>
                <w:left w:val="none" w:sz="0" w:space="0" w:color="auto"/>
                <w:bottom w:val="none" w:sz="0" w:space="0" w:color="auto"/>
                <w:right w:val="none" w:sz="0" w:space="0" w:color="auto"/>
              </w:divBdr>
              <w:divsChild>
                <w:div w:id="189720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2989">
      <w:bodyDiv w:val="1"/>
      <w:marLeft w:val="0"/>
      <w:marRight w:val="0"/>
      <w:marTop w:val="0"/>
      <w:marBottom w:val="0"/>
      <w:divBdr>
        <w:top w:val="none" w:sz="0" w:space="0" w:color="auto"/>
        <w:left w:val="none" w:sz="0" w:space="0" w:color="auto"/>
        <w:bottom w:val="none" w:sz="0" w:space="0" w:color="auto"/>
        <w:right w:val="none" w:sz="0" w:space="0" w:color="auto"/>
      </w:divBdr>
    </w:div>
    <w:div w:id="16990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urtz@ucmerced.edu" TargetMode="External"/><Relationship Id="rId13" Type="http://schemas.openxmlformats.org/officeDocument/2006/relationships/image" Target="media/image3.png"/><Relationship Id="rId18" Type="http://schemas.openxmlformats.org/officeDocument/2006/relationships/hyperlink" Target="https://www.eea.europa.eu/signals/signals-2022/articles/a-future-based-on-renewable-energy" TargetMode="External"/><Relationship Id="rId3" Type="http://schemas.openxmlformats.org/officeDocument/2006/relationships/styles" Target="styles.xml"/><Relationship Id="rId21" Type="http://schemas.openxmlformats.org/officeDocument/2006/relationships/hyperlink" Target="http://www.energyonline.com/Data/GenericData.aspx?DataId=22&amp;CAISO___Day-Ahead_Pric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ea.org/reports/the-future-of-heat-pumps/executive-summa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ea.org/reports/global-ev-outlook-2022/trends-in-electric-light-duty-vehicles" TargetMode="External"/><Relationship Id="rId20" Type="http://schemas.openxmlformats.org/officeDocument/2006/relationships/hyperlink" Target="https://www.eia.gov/electricity/data/brows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o.my.xcelenergy.com/s/billing-payment/residential-rates/time-of-use-pricing" TargetMode="External"/><Relationship Id="rId10" Type="http://schemas.openxmlformats.org/officeDocument/2006/relationships/footer" Target="footer2.xml"/><Relationship Id="rId19" Type="http://schemas.openxmlformats.org/officeDocument/2006/relationships/hyperlink" Target="https://www.eia.gov/beta/electricity/gridmonitor/dashboard/electric_overview/US48/US4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hyperlink" Target="https://www.energy.ca.gov/sb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EF087-58F3-43F2-A18C-AC8282D1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10609</Words>
  <Characters>60472</Characters>
  <Application>Microsoft Office Word</Application>
  <DocSecurity>0</DocSecurity>
  <Lines>503</Lines>
  <Paragraphs>141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70940</CharactersWithSpaces>
  <SharedDoc>false</SharedDoc>
  <HLinks>
    <vt:vector size="36" baseType="variant">
      <vt:variant>
        <vt:i4>1835089</vt:i4>
      </vt:variant>
      <vt:variant>
        <vt:i4>143</vt:i4>
      </vt:variant>
      <vt:variant>
        <vt:i4>0</vt:i4>
      </vt:variant>
      <vt:variant>
        <vt:i4>5</vt:i4>
      </vt:variant>
      <vt:variant>
        <vt:lpwstr>https://co.my.xcelenergy.com/s/billing-payment/residential-rates/time-of-use-pricing</vt:lpwstr>
      </vt:variant>
      <vt:variant>
        <vt:lpwstr/>
      </vt:variant>
      <vt:variant>
        <vt:i4>7471163</vt:i4>
      </vt:variant>
      <vt:variant>
        <vt:i4>140</vt:i4>
      </vt:variant>
      <vt:variant>
        <vt:i4>0</vt:i4>
      </vt:variant>
      <vt:variant>
        <vt:i4>5</vt:i4>
      </vt:variant>
      <vt:variant>
        <vt:lpwstr>https://www.energy.ca.gov/sb100</vt:lpwstr>
      </vt:variant>
      <vt:variant>
        <vt:lpwstr/>
      </vt:variant>
      <vt:variant>
        <vt:i4>1048594</vt:i4>
      </vt:variant>
      <vt:variant>
        <vt:i4>137</vt:i4>
      </vt:variant>
      <vt:variant>
        <vt:i4>0</vt:i4>
      </vt:variant>
      <vt:variant>
        <vt:i4>5</vt:i4>
      </vt:variant>
      <vt:variant>
        <vt:lpwstr>http://www.energyonline.com/Data/GenericData.aspx?DataId=22&amp;CAISO___Day-Ahead_Price</vt:lpwstr>
      </vt:variant>
      <vt:variant>
        <vt:lpwstr/>
      </vt:variant>
      <vt:variant>
        <vt:i4>4194400</vt:i4>
      </vt:variant>
      <vt:variant>
        <vt:i4>134</vt:i4>
      </vt:variant>
      <vt:variant>
        <vt:i4>0</vt:i4>
      </vt:variant>
      <vt:variant>
        <vt:i4>5</vt:i4>
      </vt:variant>
      <vt:variant>
        <vt:lpwstr>https://www.eia.gov/beta/electricity/gridmonitor/dashboard/electric_overview/US48/US48</vt:lpwstr>
      </vt:variant>
      <vt:variant>
        <vt:lpwstr/>
      </vt:variant>
      <vt:variant>
        <vt:i4>524297</vt:i4>
      </vt:variant>
      <vt:variant>
        <vt:i4>131</vt:i4>
      </vt:variant>
      <vt:variant>
        <vt:i4>0</vt:i4>
      </vt:variant>
      <vt:variant>
        <vt:i4>5</vt:i4>
      </vt:variant>
      <vt:variant>
        <vt:lpwstr>https://scenarioviewer.nrel.gov/</vt:lpwstr>
      </vt:variant>
      <vt:variant>
        <vt:lpwstr/>
      </vt:variant>
      <vt:variant>
        <vt:i4>4259948</vt:i4>
      </vt:variant>
      <vt:variant>
        <vt:i4>0</vt:i4>
      </vt:variant>
      <vt:variant>
        <vt:i4>0</vt:i4>
      </vt:variant>
      <vt:variant>
        <vt:i4>5</vt:i4>
      </vt:variant>
      <vt:variant>
        <vt:lpwstr>mailto:skurtz@ucmerced.edu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Sarah Kurtz</cp:lastModifiedBy>
  <cp:revision>6</cp:revision>
  <cp:lastPrinted>2022-11-05T22:45:00Z</cp:lastPrinted>
  <dcterms:created xsi:type="dcterms:W3CDTF">2023-06-04T19:07:00Z</dcterms:created>
  <dcterms:modified xsi:type="dcterms:W3CDTF">2023-06-09T14:41:00Z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