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8AB4E" w14:textId="1070A758" w:rsidR="00AE5EE0" w:rsidRPr="00C637D8" w:rsidRDefault="0089035D" w:rsidP="00C637D8">
      <w:pPr>
        <w:jc w:val="center"/>
        <w:rPr>
          <w:b/>
          <w:bCs/>
          <w:sz w:val="28"/>
          <w:szCs w:val="28"/>
        </w:rPr>
      </w:pPr>
      <w:r w:rsidRPr="00C637D8">
        <w:rPr>
          <w:b/>
          <w:bCs/>
          <w:sz w:val="28"/>
          <w:szCs w:val="28"/>
        </w:rPr>
        <w:t xml:space="preserve">Talking about Long-duration </w:t>
      </w:r>
      <w:r w:rsidR="006F628E">
        <w:rPr>
          <w:b/>
          <w:bCs/>
          <w:sz w:val="28"/>
          <w:szCs w:val="28"/>
        </w:rPr>
        <w:t xml:space="preserve">Energy </w:t>
      </w:r>
      <w:r w:rsidRPr="00C637D8">
        <w:rPr>
          <w:b/>
          <w:bCs/>
          <w:sz w:val="28"/>
          <w:szCs w:val="28"/>
        </w:rPr>
        <w:t>Storage</w:t>
      </w:r>
      <w:r w:rsidR="00A3335E">
        <w:rPr>
          <w:b/>
          <w:bCs/>
          <w:sz w:val="28"/>
          <w:szCs w:val="28"/>
        </w:rPr>
        <w:t xml:space="preserve"> to Enable a Decarbonized Grid</w:t>
      </w:r>
    </w:p>
    <w:p w14:paraId="589F23D6" w14:textId="6C2E9EFB" w:rsidR="0089035D" w:rsidRDefault="0089035D"/>
    <w:p w14:paraId="598D15CB" w14:textId="0B79922C" w:rsidR="00A3335E" w:rsidRDefault="00A3335E" w:rsidP="004921F7">
      <w:r>
        <w:t>__________________________________________________________________________</w:t>
      </w:r>
    </w:p>
    <w:p w14:paraId="360D2A67" w14:textId="5F2E2963" w:rsidR="00A3335E" w:rsidRDefault="00A3335E" w:rsidP="004921F7">
      <w:r>
        <w:t xml:space="preserve">From keeping the lights on every night to making it through heat waves and cold snaps, long-duration energy storage will be foundational to a </w:t>
      </w:r>
      <w:r w:rsidR="003E0598">
        <w:t>decarbonized</w:t>
      </w:r>
      <w:r>
        <w:t xml:space="preserve"> grid</w:t>
      </w:r>
    </w:p>
    <w:p w14:paraId="5B85606E" w14:textId="77777777" w:rsidR="00A3335E" w:rsidRDefault="00A3335E" w:rsidP="00A3335E">
      <w:r>
        <w:t>__________________________________________________________________________</w:t>
      </w:r>
    </w:p>
    <w:p w14:paraId="2603EF38" w14:textId="77777777" w:rsidR="00A3335E" w:rsidRDefault="00A3335E" w:rsidP="004921F7"/>
    <w:p w14:paraId="1E935D95" w14:textId="3E92A8CA" w:rsidR="004921F7" w:rsidRDefault="0089035D" w:rsidP="004921F7">
      <w:r>
        <w:t xml:space="preserve">As countries, companies, and utilities </w:t>
      </w:r>
      <w:r w:rsidR="00224839">
        <w:t>set</w:t>
      </w:r>
      <w:r>
        <w:t xml:space="preserve"> targets to decarbonize the grid, </w:t>
      </w:r>
      <w:r w:rsidR="0025307C">
        <w:t xml:space="preserve">energy storage will play multiple roles in balancing electricity </w:t>
      </w:r>
      <w:r w:rsidR="006909A7">
        <w:t>supply and demand</w:t>
      </w:r>
      <w:r w:rsidR="0025307C">
        <w:t xml:space="preserve">. The </w:t>
      </w:r>
      <w:r w:rsidR="00E66C22">
        <w:t xml:space="preserve">need for energy </w:t>
      </w:r>
      <w:r w:rsidR="0025307C">
        <w:t>storage is anticipated to increase as dispatchable sources of electricity like natural gas are replaced with variable sources like solar and wind.</w:t>
      </w:r>
      <w:r w:rsidR="00C704F5">
        <w:t xml:space="preserve"> </w:t>
      </w:r>
      <w:r w:rsidR="000E3ED7">
        <w:t>Most agree</w:t>
      </w:r>
      <w:r>
        <w:t xml:space="preserve"> that long-duration storage </w:t>
      </w:r>
      <w:r w:rsidR="00F42832">
        <w:t>will be a critical</w:t>
      </w:r>
      <w:r>
        <w:t xml:space="preserve"> </w:t>
      </w:r>
      <w:r w:rsidR="00421601">
        <w:t>requirement</w:t>
      </w:r>
      <w:r>
        <w:t xml:space="preserve"> of a decarbonized grid, but questions often arise about </w:t>
      </w:r>
      <w:r w:rsidR="00C671D1">
        <w:t xml:space="preserve">what is meant by “long-duration storage.” Here we </w:t>
      </w:r>
      <w:r w:rsidR="00FC1994">
        <w:t xml:space="preserve">suggest clarification of terminology </w:t>
      </w:r>
      <w:r w:rsidR="00501684">
        <w:t>to</w:t>
      </w:r>
      <w:r w:rsidR="00FC1994">
        <w:t xml:space="preserve"> help us</w:t>
      </w:r>
      <w:r w:rsidR="00EB1F3B">
        <w:t xml:space="preserve"> </w:t>
      </w:r>
      <w:r w:rsidR="00FC1994">
        <w:t>communicate better</w:t>
      </w:r>
      <w:r w:rsidR="00501684">
        <w:t>; w</w:t>
      </w:r>
      <w:r w:rsidR="0021014A">
        <w:t>e propose a broad definition that may help</w:t>
      </w:r>
      <w:r w:rsidR="00FC1994">
        <w:t xml:space="preserve"> </w:t>
      </w:r>
      <w:r w:rsidR="00A3335E">
        <w:t xml:space="preserve">reach a zero-carbon grid sooner by </w:t>
      </w:r>
      <w:r w:rsidR="0021014A">
        <w:t>encouraging development and implementation of</w:t>
      </w:r>
      <w:r w:rsidR="00A3335E">
        <w:t xml:space="preserve"> diverse s</w:t>
      </w:r>
      <w:r w:rsidR="00414C02">
        <w:t>trategies</w:t>
      </w:r>
      <w:r w:rsidR="0025307C">
        <w:t>.</w:t>
      </w:r>
    </w:p>
    <w:p w14:paraId="20ADA5E3" w14:textId="018F18E7" w:rsidR="0025307C" w:rsidRDefault="0025307C" w:rsidP="004921F7"/>
    <w:p w14:paraId="69BB057F" w14:textId="68A0BEFB" w:rsidR="0056261D" w:rsidRDefault="0056261D" w:rsidP="004921F7">
      <w:r>
        <w:t>Today’s grid balances supply and demand mostly by maintaining power-generating assets that are dispatched</w:t>
      </w:r>
      <w:r w:rsidR="00CD0E96">
        <w:t xml:space="preserve"> as needed, with some generators operating at full capacity most of the time and others operating only </w:t>
      </w:r>
      <w:r w:rsidR="00E66C22">
        <w:t>during high demand</w:t>
      </w:r>
      <w:r w:rsidR="00CD0E96">
        <w:t xml:space="preserve">. A decarbonized grid may continue to use fossil-fuel-powered generators coupled with carbon sequestration, but solar and wind generators coupled with </w:t>
      </w:r>
      <w:r w:rsidR="00E66C22">
        <w:t xml:space="preserve">low-cost </w:t>
      </w:r>
      <w:r w:rsidR="00CD0E96">
        <w:t>storage may be able to deliver reliable electricity at a lower cost. The California Energy Commission</w:t>
      </w:r>
      <w:r w:rsidR="0021014A">
        <w:t xml:space="preserve"> (CEC)</w:t>
      </w:r>
      <w:r w:rsidR="00CD0E96">
        <w:t xml:space="preserve"> recently awarded more than $2 million </w:t>
      </w:r>
      <w:r w:rsidR="00EB1F3B">
        <w:t>to</w:t>
      </w:r>
      <w:r w:rsidR="00CD0E96">
        <w:t xml:space="preserve"> study long-duration storage to better understand the roles that long-duration storage may play and the</w:t>
      </w:r>
      <w:r w:rsidR="001D370F">
        <w:t xml:space="preserve"> related</w:t>
      </w:r>
      <w:r w:rsidR="00CD0E96">
        <w:t xml:space="preserve"> cost targets</w:t>
      </w:r>
      <w:r w:rsidR="00414C02">
        <w:t xml:space="preserve"> as a basis for future technology development and implementation</w:t>
      </w:r>
      <w:r w:rsidR="00691047">
        <w:t>.</w:t>
      </w:r>
      <w:r w:rsidR="00E66C22">
        <w:t xml:space="preserve"> </w:t>
      </w:r>
      <w:r w:rsidR="0021014A">
        <w:t>This understanding will guide the CEC in its efforts toward a zero-carbon-emissions grid in 2045.</w:t>
      </w:r>
    </w:p>
    <w:p w14:paraId="636343F4" w14:textId="77777777" w:rsidR="00E66EB9" w:rsidRDefault="00E66EB9" w:rsidP="004921F7"/>
    <w:p w14:paraId="5FCE3D35" w14:textId="6795C143" w:rsidR="00E66EB9" w:rsidRPr="00E66EB9" w:rsidRDefault="00E66EB9" w:rsidP="004921F7">
      <w:pPr>
        <w:rPr>
          <w:b/>
          <w:bCs/>
        </w:rPr>
      </w:pPr>
      <w:r w:rsidRPr="00E66EB9">
        <w:rPr>
          <w:b/>
          <w:bCs/>
        </w:rPr>
        <w:t xml:space="preserve">Types of </w:t>
      </w:r>
      <w:r w:rsidR="00DB2EE3">
        <w:rPr>
          <w:b/>
          <w:bCs/>
        </w:rPr>
        <w:t xml:space="preserve">energy </w:t>
      </w:r>
      <w:r w:rsidRPr="00E66EB9">
        <w:rPr>
          <w:b/>
          <w:bCs/>
        </w:rPr>
        <w:t>storage opportunities</w:t>
      </w:r>
    </w:p>
    <w:p w14:paraId="2CE3CBE9" w14:textId="1C8B0186" w:rsidR="00E05435" w:rsidRDefault="00E05435" w:rsidP="004921F7"/>
    <w:p w14:paraId="1BC64155" w14:textId="078A8520" w:rsidR="00E05435" w:rsidRDefault="002F4B92" w:rsidP="004921F7">
      <w:r>
        <w:t>Multiple opportunities for storage to help balance the electrical grid are shown by the green boxes in Fig. 1</w:t>
      </w:r>
      <w:r w:rsidR="003E0598">
        <w:t>, representing the electricity flows to and from various types of energy storage reservoirs</w:t>
      </w:r>
      <w:r>
        <w:t xml:space="preserve">. </w:t>
      </w:r>
      <w:r w:rsidR="00E05435">
        <w:t xml:space="preserve">Demand management may be used to facilitate storage at the customer’s site, as indicated by the Fig. 1 green box “Load – Stored energy.” Some customer-sited forms of energy storage are </w:t>
      </w:r>
      <w:r>
        <w:t>relatively</w:t>
      </w:r>
      <w:r w:rsidR="00E05435">
        <w:t xml:space="preserve"> low in cost. For example, </w:t>
      </w:r>
      <w:r>
        <w:t>many</w:t>
      </w:r>
      <w:r w:rsidR="00E05435">
        <w:t xml:space="preserve"> large buildings chill water for air conditioning at times when </w:t>
      </w:r>
      <w:r w:rsidR="00C5364C">
        <w:t>electricity</w:t>
      </w:r>
      <w:r w:rsidR="00E05435">
        <w:t xml:space="preserve"> rates are low</w:t>
      </w:r>
      <w:r w:rsidR="001D370F">
        <w:t>, storing the chilled water in a relatively low-cost tank</w:t>
      </w:r>
      <w:r>
        <w:t xml:space="preserve"> for later use</w:t>
      </w:r>
      <w:r w:rsidR="00E05435">
        <w:t>. Such demand management strategies</w:t>
      </w:r>
      <w:r w:rsidR="00DA59CE">
        <w:t xml:space="preserve"> have the potential to</w:t>
      </w:r>
      <w:r w:rsidR="00E05435">
        <w:t xml:space="preserve"> </w:t>
      </w:r>
      <w:r>
        <w:t>both</w:t>
      </w:r>
      <w:r w:rsidR="00E05435">
        <w:t xml:space="preserve"> reduce </w:t>
      </w:r>
      <w:r>
        <w:t xml:space="preserve">total </w:t>
      </w:r>
      <w:r w:rsidR="00E05435">
        <w:t xml:space="preserve">cost </w:t>
      </w:r>
      <w:r>
        <w:t>and shift</w:t>
      </w:r>
      <w:r w:rsidR="00E05435">
        <w:t xml:space="preserve"> the capital investment</w:t>
      </w:r>
      <w:r>
        <w:t xml:space="preserve"> cost</w:t>
      </w:r>
      <w:r w:rsidR="00E05435">
        <w:t xml:space="preserve"> </w:t>
      </w:r>
      <w:r w:rsidR="00330418">
        <w:t xml:space="preserve">away </w:t>
      </w:r>
      <w:r w:rsidR="00E05435">
        <w:t>from the utility.</w:t>
      </w:r>
      <w:r w:rsidR="00DA59CE">
        <w:t xml:space="preserve"> Understanding </w:t>
      </w:r>
      <w:r w:rsidR="00DB2EE3">
        <w:t>customer-sited storage</w:t>
      </w:r>
      <w:r w:rsidR="00DA59CE">
        <w:t xml:space="preserve"> in more detail is a prerequisite to</w:t>
      </w:r>
      <w:r w:rsidR="00DB2EE3">
        <w:t xml:space="preserve"> developing</w:t>
      </w:r>
      <w:r w:rsidR="00DA59CE">
        <w:t xml:space="preserve"> effective policy</w:t>
      </w:r>
      <w:r w:rsidR="00DB2EE3">
        <w:t>. Such policy would</w:t>
      </w:r>
      <w:r w:rsidR="00DA59CE">
        <w:t xml:space="preserve"> expand today’s demand management programs </w:t>
      </w:r>
      <w:r w:rsidR="00DB2EE3">
        <w:t>in</w:t>
      </w:r>
      <w:r w:rsidR="00DA59CE">
        <w:t xml:space="preserve">to comprehensive programs that can effectively provide large storage assets such as </w:t>
      </w:r>
      <w:r w:rsidR="00330418">
        <w:t>Tesla’s aggregation of batteries in many customers’ homes into a virtual power plant.</w:t>
      </w:r>
    </w:p>
    <w:p w14:paraId="61558465" w14:textId="77777777" w:rsidR="0025307C" w:rsidRDefault="0025307C" w:rsidP="004921F7"/>
    <w:p w14:paraId="6438A85A" w14:textId="1009A4B9" w:rsidR="006909A7" w:rsidRDefault="0056261D" w:rsidP="004921F7">
      <w:r w:rsidRPr="0056261D">
        <w:lastRenderedPageBreak/>
        <w:drawing>
          <wp:inline distT="0" distB="0" distL="0" distR="0" wp14:anchorId="5D010DDE" wp14:editId="7EAC4463">
            <wp:extent cx="5943600" cy="20281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28190"/>
                    </a:xfrm>
                    <a:prstGeom prst="rect">
                      <a:avLst/>
                    </a:prstGeom>
                  </pic:spPr>
                </pic:pic>
              </a:graphicData>
            </a:graphic>
          </wp:inline>
        </w:drawing>
      </w:r>
    </w:p>
    <w:p w14:paraId="64B51DA2" w14:textId="5A93F6AF" w:rsidR="0056261D" w:rsidRPr="00F251E8" w:rsidRDefault="0056261D" w:rsidP="0056261D">
      <w:pPr>
        <w:rPr>
          <w:sz w:val="22"/>
          <w:szCs w:val="22"/>
        </w:rPr>
      </w:pPr>
      <w:r w:rsidRPr="00F251E8">
        <w:rPr>
          <w:sz w:val="22"/>
          <w:szCs w:val="22"/>
        </w:rPr>
        <w:t xml:space="preserve">Fig. 1. </w:t>
      </w:r>
      <w:r>
        <w:rPr>
          <w:sz w:val="22"/>
          <w:szCs w:val="22"/>
        </w:rPr>
        <w:t>Opportunities for energy storage</w:t>
      </w:r>
      <w:r w:rsidR="00C5364C">
        <w:rPr>
          <w:sz w:val="22"/>
          <w:szCs w:val="22"/>
        </w:rPr>
        <w:t xml:space="preserve"> (green boxes)</w:t>
      </w:r>
      <w:r>
        <w:rPr>
          <w:sz w:val="22"/>
          <w:szCs w:val="22"/>
        </w:rPr>
        <w:t xml:space="preserve"> to help balance </w:t>
      </w:r>
      <w:r w:rsidR="001D370F">
        <w:rPr>
          <w:sz w:val="22"/>
          <w:szCs w:val="22"/>
        </w:rPr>
        <w:t xml:space="preserve">electricity </w:t>
      </w:r>
      <w:r>
        <w:rPr>
          <w:sz w:val="22"/>
          <w:szCs w:val="22"/>
        </w:rPr>
        <w:t>supply and demand</w:t>
      </w:r>
    </w:p>
    <w:p w14:paraId="5D7F565E" w14:textId="50094852" w:rsidR="00C671D1" w:rsidRDefault="00C671D1"/>
    <w:p w14:paraId="680C777C" w14:textId="3692FA93" w:rsidR="00737AB0" w:rsidRDefault="004F77A0" w:rsidP="00737AB0">
      <w:r>
        <w:t xml:space="preserve">More generally, </w:t>
      </w:r>
      <w:r w:rsidR="005F57A7">
        <w:t>surplus electricity may be stored for later electricity generation (green box labeled “energy reservoir”</w:t>
      </w:r>
      <w:r w:rsidR="001D7E86">
        <w:t>)</w:t>
      </w:r>
      <w:r w:rsidR="005F57A7">
        <w:t xml:space="preserve"> or for creation of an energy product like hydrogen (green box labeled “energy product for other sector”</w:t>
      </w:r>
      <w:r w:rsidR="001D7E86">
        <w:t>)</w:t>
      </w:r>
      <w:r w:rsidR="00E66C22">
        <w:t xml:space="preserve"> that may be stored at low cost until the energy is needed later</w:t>
      </w:r>
      <w:r w:rsidR="001D7E86">
        <w:t>.</w:t>
      </w:r>
      <w:r w:rsidR="005F57A7">
        <w:t xml:space="preserve"> </w:t>
      </w:r>
      <w:r w:rsidR="00E66EB9">
        <w:t>Also, w</w:t>
      </w:r>
      <w:r w:rsidR="00C5364C">
        <w:t>hen electricity is in short supply, energy that is stored for use in other sectors may be used to generate electricity</w:t>
      </w:r>
      <w:r w:rsidR="00E66EB9">
        <w:t xml:space="preserve"> (green box labeled “other sector energy reservoir”)</w:t>
      </w:r>
      <w:r w:rsidR="00C5364C">
        <w:t>.</w:t>
      </w:r>
      <w:r w:rsidR="005F57A7">
        <w:t xml:space="preserve"> </w:t>
      </w:r>
      <w:r w:rsidR="00E66EB9">
        <w:t xml:space="preserve">A decarbonized grid may benefit from using all of these strategies. </w:t>
      </w:r>
    </w:p>
    <w:p w14:paraId="50088841" w14:textId="047D1A90" w:rsidR="00C5364C" w:rsidRDefault="00C5364C" w:rsidP="00737AB0"/>
    <w:p w14:paraId="2FF6F9C7" w14:textId="7F28ED12" w:rsidR="005629D5" w:rsidRDefault="00C5364C" w:rsidP="00737AB0">
      <w:r>
        <w:t xml:space="preserve">Capacity-expansion models commonly include batteries </w:t>
      </w:r>
      <w:r w:rsidR="00E66EB9">
        <w:t>and</w:t>
      </w:r>
      <w:r>
        <w:t xml:space="preserve"> pumped hydro</w:t>
      </w:r>
      <w:r w:rsidR="00E66EB9">
        <w:t xml:space="preserve"> storage</w:t>
      </w:r>
      <w:r>
        <w:t>, keeping track of the</w:t>
      </w:r>
      <w:r w:rsidR="00E66EB9">
        <w:t>ir</w:t>
      </w:r>
      <w:r>
        <w:t xml:space="preserve"> state-of-charge as the</w:t>
      </w:r>
      <w:r w:rsidR="00E66EB9">
        <w:t>y</w:t>
      </w:r>
      <w:r>
        <w:t xml:space="preserve"> are charged or discharged (Fig. 1 green box “Energy reservoir”)</w:t>
      </w:r>
      <w:r w:rsidR="00E66EB9">
        <w:t>.</w:t>
      </w:r>
      <w:r>
        <w:t xml:space="preserve"> </w:t>
      </w:r>
      <w:r w:rsidR="003E0598">
        <w:t>M</w:t>
      </w:r>
      <w:r>
        <w:t>odeling the</w:t>
      </w:r>
      <w:r w:rsidR="003E0598">
        <w:t xml:space="preserve"> value of</w:t>
      </w:r>
      <w:r>
        <w:t xml:space="preserve"> cross-sector storage opportunities is less common. For example, </w:t>
      </w:r>
      <w:r w:rsidR="00D15F9B">
        <w:t xml:space="preserve">some </w:t>
      </w:r>
      <w:r w:rsidR="003E0598">
        <w:t xml:space="preserve">capacity-expansion </w:t>
      </w:r>
      <w:r w:rsidR="00D15F9B">
        <w:t>models</w:t>
      </w:r>
      <w:r w:rsidR="003E0598">
        <w:t xml:space="preserve"> increase the input load profile to</w:t>
      </w:r>
      <w:r w:rsidR="00D15F9B">
        <w:t xml:space="preserve"> include hydrogen production</w:t>
      </w:r>
      <w:r w:rsidR="003E0598">
        <w:t>, requiring more electricity generation</w:t>
      </w:r>
      <w:r w:rsidR="00D15F9B">
        <w:t>. A more complete model would optimize the hydrogen production by considering the capital</w:t>
      </w:r>
      <w:r w:rsidR="00F1299B">
        <w:t xml:space="preserve"> costs</w:t>
      </w:r>
      <w:r w:rsidR="00D15F9B">
        <w:t xml:space="preserve"> and operating cost</w:t>
      </w:r>
      <w:r w:rsidR="00F1299B">
        <w:t>s</w:t>
      </w:r>
      <w:r w:rsidR="00D15F9B">
        <w:t xml:space="preserve"> of the </w:t>
      </w:r>
      <w:proofErr w:type="spellStart"/>
      <w:r w:rsidR="00D15F9B">
        <w:t>electrolyzers</w:t>
      </w:r>
      <w:proofErr w:type="spellEnd"/>
      <w:r w:rsidR="00D15F9B">
        <w:t xml:space="preserve"> offset by the value of the hydrogen that is generated</w:t>
      </w:r>
      <w:r w:rsidR="003E0598">
        <w:t>, potentially turning curtailed electricity into a revenue stream</w:t>
      </w:r>
      <w:r w:rsidR="00D15F9B">
        <w:t xml:space="preserve">. </w:t>
      </w:r>
      <w:r w:rsidR="00E66EB9">
        <w:t>Similarly</w:t>
      </w:r>
      <w:r w:rsidR="00D15F9B">
        <w:t xml:space="preserve">, </w:t>
      </w:r>
      <w:r w:rsidR="00E66EB9">
        <w:t>a more complete</w:t>
      </w:r>
      <w:r w:rsidR="005629D5">
        <w:t xml:space="preserve"> model </w:t>
      </w:r>
      <w:r w:rsidR="00E66EB9">
        <w:t>w</w:t>
      </w:r>
      <w:r w:rsidR="005629D5">
        <w:t xml:space="preserve">ould </w:t>
      </w:r>
      <w:r w:rsidR="00E66EB9">
        <w:t>calculate the cost of using</w:t>
      </w:r>
      <w:r w:rsidR="005629D5">
        <w:t xml:space="preserve"> </w:t>
      </w:r>
      <w:r w:rsidR="00D15F9B">
        <w:t>hydrogen</w:t>
      </w:r>
      <w:r w:rsidR="00E66C22">
        <w:t xml:space="preserve"> (that is being stored for transportation or chemical use)</w:t>
      </w:r>
      <w:r w:rsidR="00D15F9B">
        <w:t xml:space="preserve"> to generate electricity when electricity is in short supply</w:t>
      </w:r>
      <w:r w:rsidR="005629D5">
        <w:t>.</w:t>
      </w:r>
    </w:p>
    <w:p w14:paraId="55E035AC" w14:textId="1577E3A6" w:rsidR="00A20B6A" w:rsidRDefault="00A20B6A" w:rsidP="00737AB0"/>
    <w:p w14:paraId="33651AD1" w14:textId="7762961B" w:rsidR="00A20B6A" w:rsidRDefault="00A20B6A" w:rsidP="00737AB0">
      <w:r>
        <w:t xml:space="preserve">While there is no general agreement that all four green boxes in Fig. 1 should be called “long-duration storage” we assert that </w:t>
      </w:r>
      <w:r w:rsidRPr="003E0598">
        <w:t>a full understanding of</w:t>
      </w:r>
      <w:r w:rsidR="00E66C22" w:rsidRPr="003E0598">
        <w:t xml:space="preserve"> the roles of</w:t>
      </w:r>
      <w:r w:rsidRPr="003E0598">
        <w:t xml:space="preserve"> long-duration storage will require understand</w:t>
      </w:r>
      <w:r w:rsidR="00E66C22" w:rsidRPr="003E0598">
        <w:t>ing</w:t>
      </w:r>
      <w:r w:rsidR="002F4B92" w:rsidRPr="003E0598">
        <w:t xml:space="preserve"> the opportunities described by</w:t>
      </w:r>
      <w:r w:rsidRPr="003E0598">
        <w:t xml:space="preserve"> all four green boxes</w:t>
      </w:r>
      <w:r w:rsidR="003E0598">
        <w:t xml:space="preserve"> and that understanding the relative benefits of all of these will help </w:t>
      </w:r>
      <w:r w:rsidR="00B9177C">
        <w:t>policy makers identify the most effective actions to take</w:t>
      </w:r>
      <w:r>
        <w:t>.</w:t>
      </w:r>
    </w:p>
    <w:p w14:paraId="21439133" w14:textId="3826272C" w:rsidR="00E66EB9" w:rsidRDefault="00E66EB9" w:rsidP="00737AB0"/>
    <w:p w14:paraId="1F16605B" w14:textId="0CE68220" w:rsidR="00CB29D3" w:rsidRPr="00E66EB9" w:rsidRDefault="00F1299B" w:rsidP="00CB29D3">
      <w:pPr>
        <w:rPr>
          <w:b/>
          <w:bCs/>
        </w:rPr>
      </w:pPr>
      <w:r>
        <w:rPr>
          <w:b/>
          <w:bCs/>
        </w:rPr>
        <w:t>T</w:t>
      </w:r>
      <w:r w:rsidR="00A06FA3">
        <w:rPr>
          <w:b/>
          <w:bCs/>
        </w:rPr>
        <w:t>axonomy for storage</w:t>
      </w:r>
    </w:p>
    <w:p w14:paraId="387B333D" w14:textId="77777777" w:rsidR="00CB29D3" w:rsidRDefault="00CB29D3" w:rsidP="00CB29D3"/>
    <w:p w14:paraId="6F17B5C1" w14:textId="56C84E3C" w:rsidR="0030689E" w:rsidRDefault="00A06FA3" w:rsidP="0030689E">
      <w:r>
        <w:t xml:space="preserve">As we work to envision the roles of storage in supporting tomorrow’s grid, it is useful to develop a taxonomy </w:t>
      </w:r>
      <w:r w:rsidR="00626187">
        <w:t>for improved communication</w:t>
      </w:r>
      <w:r>
        <w:t xml:space="preserve">. </w:t>
      </w:r>
      <w:r w:rsidR="0030689E">
        <w:t xml:space="preserve">For the purposes of modeling, it is useful to differentiate types of storage according to how they are modeled. We highlight here two aspects that are critical to the model implementation: a) the electricity flows </w:t>
      </w:r>
      <w:r w:rsidR="00DC5EDD">
        <w:t>(with</w:t>
      </w:r>
      <w:r w:rsidR="0030689E">
        <w:t xml:space="preserve"> associated costs</w:t>
      </w:r>
      <w:r w:rsidR="00DC5EDD">
        <w:t>)</w:t>
      </w:r>
      <w:r w:rsidR="0030689E">
        <w:t xml:space="preserve"> and b) the temporal resolution.</w:t>
      </w:r>
    </w:p>
    <w:p w14:paraId="5D6E3F05" w14:textId="697479E2" w:rsidR="00DC5EDD" w:rsidRDefault="00DC5EDD" w:rsidP="0030689E"/>
    <w:p w14:paraId="3474AF7D" w14:textId="36D236EA" w:rsidR="00DC5EDD" w:rsidRDefault="00DC5EDD" w:rsidP="0030689E">
      <w:r>
        <w:t>In Table 1 we propose a taxonomy for the four storage opportunities outlined in Fig. 1. We suggest that “customer-sited storage” describe storage assets that are purchased and operated by the electricity customer</w:t>
      </w:r>
      <w:r w:rsidR="00F1299B">
        <w:t xml:space="preserve"> (or business partner)</w:t>
      </w:r>
      <w:r>
        <w:t xml:space="preserve"> at the customer’s location. </w:t>
      </w:r>
      <w:r w:rsidR="007F5909">
        <w:t xml:space="preserve"> “Self-contained storage” assets are connected to the grid, charg</w:t>
      </w:r>
      <w:r w:rsidR="00F1299B">
        <w:t>ed</w:t>
      </w:r>
      <w:r w:rsidR="007F5909">
        <w:t xml:space="preserve"> with surplus electricity</w:t>
      </w:r>
      <w:r w:rsidR="00757411">
        <w:t>,</w:t>
      </w:r>
      <w:r w:rsidR="007F5909">
        <w:t xml:space="preserve"> and discharg</w:t>
      </w:r>
      <w:r w:rsidR="00F1299B">
        <w:t>ed</w:t>
      </w:r>
      <w:r w:rsidR="007F5909">
        <w:t xml:space="preserve"> when electricity demand is high. Finally, “cross-sector storage” created to serve the transportation or other sector may be </w:t>
      </w:r>
      <w:r w:rsidR="002F4B92">
        <w:t>charged</w:t>
      </w:r>
      <w:r w:rsidR="007F5909">
        <w:t xml:space="preserve"> or </w:t>
      </w:r>
      <w:r w:rsidR="002F4B92">
        <w:t>discharged</w:t>
      </w:r>
      <w:r w:rsidR="007F5909">
        <w:t xml:space="preserve"> to help balance the grid. While it is clear that all of these energy flows need to be modeled to fully understand the roles storage plays in balancing the grid, it is less clear that all of the opportunities should be called “storage.” Table 1 gives examples </w:t>
      </w:r>
      <w:r w:rsidR="002F4B92">
        <w:t>of how to implement</w:t>
      </w:r>
      <w:r w:rsidR="007F5909">
        <w:t xml:space="preserve"> each storage </w:t>
      </w:r>
      <w:r w:rsidR="002F4B92">
        <w:t>opportunity</w:t>
      </w:r>
      <w:r w:rsidR="007F5909">
        <w:t xml:space="preserve"> and also suggests </w:t>
      </w:r>
      <w:r w:rsidR="002F4B92">
        <w:t>opportunities</w:t>
      </w:r>
      <w:r w:rsidR="00C358CE">
        <w:t xml:space="preserve"> that need to be included in the modeling, but that are usually not labeled as “storage.” We emphasize that in our study of “long-duration storage</w:t>
      </w:r>
      <w:r w:rsidR="002F4B92">
        <w:t>,</w:t>
      </w:r>
      <w:r w:rsidR="00C358CE">
        <w:t xml:space="preserve">” we intend to model the potential of all of these, but recognize that, for example, biogas is usually viewed as a generation technology even though biogas represents a form of energy storage that may be </w:t>
      </w:r>
      <w:r w:rsidR="00757411">
        <w:t>useful for balancing the grid</w:t>
      </w:r>
      <w:r w:rsidR="00C358CE">
        <w:t>. We feel that it is less important to decide whether biogas is called a generation technology or storage</w:t>
      </w:r>
      <w:r w:rsidR="00CC4F35">
        <w:t xml:space="preserve"> technology</w:t>
      </w:r>
      <w:r w:rsidR="00C358CE">
        <w:t xml:space="preserve"> and more important to agree that biogas has the potential </w:t>
      </w:r>
      <w:r w:rsidR="00CC4F35">
        <w:t xml:space="preserve">to </w:t>
      </w:r>
      <w:r w:rsidR="00C358CE">
        <w:t>help balance the grid</w:t>
      </w:r>
      <w:r w:rsidR="00CC4F35">
        <w:t xml:space="preserve"> by providing a reservoir of energy.</w:t>
      </w:r>
      <w:r w:rsidR="00F1299B">
        <w:t xml:space="preserve"> </w:t>
      </w:r>
    </w:p>
    <w:p w14:paraId="76DADB79" w14:textId="7FD1FAE4" w:rsidR="0030689E" w:rsidRDefault="0030689E" w:rsidP="0030689E"/>
    <w:p w14:paraId="359302E0" w14:textId="23333EDF" w:rsidR="00DC5EDD" w:rsidRPr="00C358CE" w:rsidRDefault="00DC5EDD" w:rsidP="0030689E">
      <w:pPr>
        <w:rPr>
          <w:b/>
          <w:bCs/>
        </w:rPr>
      </w:pPr>
      <w:r w:rsidRPr="00C358CE">
        <w:rPr>
          <w:b/>
          <w:bCs/>
        </w:rPr>
        <w:t xml:space="preserve">Table 1. </w:t>
      </w:r>
      <w:r w:rsidR="00C358CE" w:rsidRPr="00C358CE">
        <w:rPr>
          <w:b/>
          <w:bCs/>
        </w:rPr>
        <w:t>Proposed taxonomy for differentiating storage opportunities</w:t>
      </w:r>
    </w:p>
    <w:tbl>
      <w:tblPr>
        <w:tblStyle w:val="TableGrid"/>
        <w:tblW w:w="0" w:type="auto"/>
        <w:tblLook w:val="04A0" w:firstRow="1" w:lastRow="0" w:firstColumn="1" w:lastColumn="0" w:noHBand="0" w:noVBand="1"/>
      </w:tblPr>
      <w:tblGrid>
        <w:gridCol w:w="1870"/>
        <w:gridCol w:w="1870"/>
        <w:gridCol w:w="1870"/>
        <w:gridCol w:w="1870"/>
        <w:gridCol w:w="1870"/>
      </w:tblGrid>
      <w:tr w:rsidR="0030689E" w14:paraId="5B4F0CAA" w14:textId="77777777" w:rsidTr="0065558F">
        <w:tc>
          <w:tcPr>
            <w:tcW w:w="1870" w:type="dxa"/>
            <w:vAlign w:val="center"/>
          </w:tcPr>
          <w:p w14:paraId="0337BA00" w14:textId="6307D21F" w:rsidR="0030689E" w:rsidRPr="00954430" w:rsidRDefault="0065558F" w:rsidP="0030689E">
            <w:pPr>
              <w:rPr>
                <w:sz w:val="20"/>
                <w:szCs w:val="20"/>
              </w:rPr>
            </w:pPr>
            <w:r>
              <w:rPr>
                <w:sz w:val="20"/>
                <w:szCs w:val="20"/>
              </w:rPr>
              <w:t>Figure 1 label</w:t>
            </w:r>
          </w:p>
        </w:tc>
        <w:tc>
          <w:tcPr>
            <w:tcW w:w="1870" w:type="dxa"/>
            <w:shd w:val="clear" w:color="auto" w:fill="92D050"/>
            <w:vAlign w:val="center"/>
          </w:tcPr>
          <w:p w14:paraId="0BE75524" w14:textId="3D39F0D5" w:rsidR="0030689E" w:rsidRPr="00954430" w:rsidRDefault="00954430" w:rsidP="00954430">
            <w:pPr>
              <w:jc w:val="center"/>
              <w:rPr>
                <w:sz w:val="20"/>
                <w:szCs w:val="20"/>
              </w:rPr>
            </w:pPr>
            <w:r w:rsidRPr="00954430">
              <w:rPr>
                <w:sz w:val="20"/>
                <w:szCs w:val="20"/>
              </w:rPr>
              <w:t>Load – stored energy</w:t>
            </w:r>
          </w:p>
        </w:tc>
        <w:tc>
          <w:tcPr>
            <w:tcW w:w="1870" w:type="dxa"/>
            <w:shd w:val="clear" w:color="auto" w:fill="92D050"/>
            <w:vAlign w:val="center"/>
          </w:tcPr>
          <w:p w14:paraId="44B9EFF7" w14:textId="4B0F7C0E" w:rsidR="0030689E" w:rsidRPr="00954430" w:rsidRDefault="00954430" w:rsidP="00954430">
            <w:pPr>
              <w:jc w:val="center"/>
              <w:rPr>
                <w:sz w:val="20"/>
                <w:szCs w:val="20"/>
              </w:rPr>
            </w:pPr>
            <w:r w:rsidRPr="00954430">
              <w:rPr>
                <w:sz w:val="20"/>
                <w:szCs w:val="20"/>
              </w:rPr>
              <w:t>Energy reservoir</w:t>
            </w:r>
          </w:p>
        </w:tc>
        <w:tc>
          <w:tcPr>
            <w:tcW w:w="1870" w:type="dxa"/>
            <w:shd w:val="clear" w:color="auto" w:fill="92D050"/>
            <w:vAlign w:val="center"/>
          </w:tcPr>
          <w:p w14:paraId="2C37B5CE" w14:textId="6777C2CD" w:rsidR="0030689E" w:rsidRPr="00954430" w:rsidRDefault="00954430" w:rsidP="00954430">
            <w:pPr>
              <w:jc w:val="center"/>
              <w:rPr>
                <w:sz w:val="20"/>
                <w:szCs w:val="20"/>
              </w:rPr>
            </w:pPr>
            <w:r w:rsidRPr="00954430">
              <w:rPr>
                <w:sz w:val="20"/>
                <w:szCs w:val="20"/>
              </w:rPr>
              <w:t xml:space="preserve">Energy product for </w:t>
            </w:r>
            <w:proofErr w:type="gramStart"/>
            <w:r w:rsidRPr="00954430">
              <w:rPr>
                <w:sz w:val="20"/>
                <w:szCs w:val="20"/>
              </w:rPr>
              <w:t>other</w:t>
            </w:r>
            <w:proofErr w:type="gramEnd"/>
            <w:r w:rsidRPr="00954430">
              <w:rPr>
                <w:sz w:val="20"/>
                <w:szCs w:val="20"/>
              </w:rPr>
              <w:t xml:space="preserve"> sector</w:t>
            </w:r>
          </w:p>
        </w:tc>
        <w:tc>
          <w:tcPr>
            <w:tcW w:w="1870" w:type="dxa"/>
            <w:shd w:val="clear" w:color="auto" w:fill="92D050"/>
            <w:vAlign w:val="center"/>
          </w:tcPr>
          <w:p w14:paraId="70467DA5" w14:textId="1EFB7BF1" w:rsidR="0030689E" w:rsidRPr="00954430" w:rsidRDefault="00954430" w:rsidP="00954430">
            <w:pPr>
              <w:jc w:val="center"/>
              <w:rPr>
                <w:sz w:val="20"/>
                <w:szCs w:val="20"/>
              </w:rPr>
            </w:pPr>
            <w:r w:rsidRPr="00954430">
              <w:rPr>
                <w:sz w:val="20"/>
                <w:szCs w:val="20"/>
              </w:rPr>
              <w:t>Other</w:t>
            </w:r>
            <w:r w:rsidR="004C6510">
              <w:rPr>
                <w:sz w:val="20"/>
                <w:szCs w:val="20"/>
              </w:rPr>
              <w:t>-</w:t>
            </w:r>
            <w:r w:rsidRPr="00954430">
              <w:rPr>
                <w:sz w:val="20"/>
                <w:szCs w:val="20"/>
              </w:rPr>
              <w:t>sector energy reservoir</w:t>
            </w:r>
          </w:p>
        </w:tc>
      </w:tr>
      <w:tr w:rsidR="0030689E" w14:paraId="6BDA97DC" w14:textId="77777777" w:rsidTr="0065558F">
        <w:tc>
          <w:tcPr>
            <w:tcW w:w="1870" w:type="dxa"/>
            <w:vAlign w:val="center"/>
          </w:tcPr>
          <w:p w14:paraId="02A5BAFD" w14:textId="435BA73F" w:rsidR="0030689E" w:rsidRPr="00954430" w:rsidRDefault="00C34D05" w:rsidP="0030689E">
            <w:pPr>
              <w:rPr>
                <w:sz w:val="20"/>
                <w:szCs w:val="20"/>
              </w:rPr>
            </w:pPr>
            <w:r>
              <w:rPr>
                <w:sz w:val="20"/>
                <w:szCs w:val="20"/>
              </w:rPr>
              <w:t>Modeled e</w:t>
            </w:r>
            <w:r w:rsidR="0065558F">
              <w:rPr>
                <w:sz w:val="20"/>
                <w:szCs w:val="20"/>
              </w:rPr>
              <w:t>lectricity flow</w:t>
            </w:r>
          </w:p>
        </w:tc>
        <w:tc>
          <w:tcPr>
            <w:tcW w:w="1870" w:type="dxa"/>
          </w:tcPr>
          <w:p w14:paraId="2B033E99" w14:textId="61E40039" w:rsidR="0030689E" w:rsidRPr="00954430" w:rsidRDefault="004C6510" w:rsidP="004C6510">
            <w:pPr>
              <w:jc w:val="center"/>
              <w:rPr>
                <w:sz w:val="20"/>
                <w:szCs w:val="20"/>
              </w:rPr>
            </w:pPr>
            <w:r w:rsidRPr="004C6510">
              <w:rPr>
                <w:sz w:val="20"/>
                <w:szCs w:val="20"/>
              </w:rPr>
              <w:drawing>
                <wp:inline distT="0" distB="0" distL="0" distR="0" wp14:anchorId="02E9818C" wp14:editId="3972474F">
                  <wp:extent cx="572494" cy="7413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382" cy="757994"/>
                          </a:xfrm>
                          <a:prstGeom prst="rect">
                            <a:avLst/>
                          </a:prstGeom>
                        </pic:spPr>
                      </pic:pic>
                    </a:graphicData>
                  </a:graphic>
                </wp:inline>
              </w:drawing>
            </w:r>
          </w:p>
        </w:tc>
        <w:tc>
          <w:tcPr>
            <w:tcW w:w="1870" w:type="dxa"/>
          </w:tcPr>
          <w:p w14:paraId="36854063" w14:textId="35C82087" w:rsidR="0030689E" w:rsidRPr="00954430" w:rsidRDefault="004C6510" w:rsidP="004C6510">
            <w:pPr>
              <w:jc w:val="center"/>
              <w:rPr>
                <w:sz w:val="20"/>
                <w:szCs w:val="20"/>
              </w:rPr>
            </w:pPr>
            <w:r w:rsidRPr="004C6510">
              <w:rPr>
                <w:sz w:val="20"/>
                <w:szCs w:val="20"/>
              </w:rPr>
              <w:drawing>
                <wp:inline distT="0" distB="0" distL="0" distR="0" wp14:anchorId="5994B39B" wp14:editId="424F7A1F">
                  <wp:extent cx="578015" cy="74104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406" cy="753084"/>
                          </a:xfrm>
                          <a:prstGeom prst="rect">
                            <a:avLst/>
                          </a:prstGeom>
                        </pic:spPr>
                      </pic:pic>
                    </a:graphicData>
                  </a:graphic>
                </wp:inline>
              </w:drawing>
            </w:r>
          </w:p>
        </w:tc>
        <w:tc>
          <w:tcPr>
            <w:tcW w:w="1870" w:type="dxa"/>
          </w:tcPr>
          <w:p w14:paraId="3103E76A" w14:textId="11B1B703" w:rsidR="0030689E" w:rsidRPr="00954430" w:rsidRDefault="004C6510" w:rsidP="004C6510">
            <w:pPr>
              <w:jc w:val="center"/>
              <w:rPr>
                <w:sz w:val="20"/>
                <w:szCs w:val="20"/>
              </w:rPr>
            </w:pPr>
            <w:r w:rsidRPr="004C6510">
              <w:rPr>
                <w:sz w:val="20"/>
                <w:szCs w:val="20"/>
              </w:rPr>
              <w:drawing>
                <wp:inline distT="0" distB="0" distL="0" distR="0" wp14:anchorId="69C69CD8" wp14:editId="037BF180">
                  <wp:extent cx="572494" cy="7413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382" cy="757994"/>
                          </a:xfrm>
                          <a:prstGeom prst="rect">
                            <a:avLst/>
                          </a:prstGeom>
                        </pic:spPr>
                      </pic:pic>
                    </a:graphicData>
                  </a:graphic>
                </wp:inline>
              </w:drawing>
            </w:r>
          </w:p>
        </w:tc>
        <w:tc>
          <w:tcPr>
            <w:tcW w:w="1870" w:type="dxa"/>
          </w:tcPr>
          <w:p w14:paraId="7DD191FD" w14:textId="4EA69EF8" w:rsidR="0030689E" w:rsidRPr="00954430" w:rsidRDefault="004C6510" w:rsidP="004C6510">
            <w:pPr>
              <w:jc w:val="center"/>
              <w:rPr>
                <w:sz w:val="20"/>
                <w:szCs w:val="20"/>
              </w:rPr>
            </w:pPr>
            <w:r w:rsidRPr="004C6510">
              <w:rPr>
                <w:sz w:val="20"/>
                <w:szCs w:val="20"/>
              </w:rPr>
              <w:drawing>
                <wp:inline distT="0" distB="0" distL="0" distR="0" wp14:anchorId="692D80EF" wp14:editId="124CCA01">
                  <wp:extent cx="578015" cy="74104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905" cy="758853"/>
                          </a:xfrm>
                          <a:prstGeom prst="rect">
                            <a:avLst/>
                          </a:prstGeom>
                        </pic:spPr>
                      </pic:pic>
                    </a:graphicData>
                  </a:graphic>
                </wp:inline>
              </w:drawing>
            </w:r>
          </w:p>
        </w:tc>
      </w:tr>
      <w:tr w:rsidR="00954430" w14:paraId="0ADAF60D" w14:textId="77777777" w:rsidTr="0065558F">
        <w:tc>
          <w:tcPr>
            <w:tcW w:w="1870" w:type="dxa"/>
            <w:vAlign w:val="center"/>
          </w:tcPr>
          <w:p w14:paraId="3C00C3FD" w14:textId="60F0058A" w:rsidR="00954430" w:rsidRPr="00C34D05" w:rsidRDefault="00954430" w:rsidP="0030689E">
            <w:pPr>
              <w:rPr>
                <w:b/>
                <w:bCs/>
                <w:sz w:val="20"/>
                <w:szCs w:val="20"/>
              </w:rPr>
            </w:pPr>
            <w:r w:rsidRPr="00C34D05">
              <w:rPr>
                <w:b/>
                <w:bCs/>
                <w:sz w:val="20"/>
                <w:szCs w:val="20"/>
              </w:rPr>
              <w:t>Proposed taxonomy</w:t>
            </w:r>
          </w:p>
        </w:tc>
        <w:tc>
          <w:tcPr>
            <w:tcW w:w="1870" w:type="dxa"/>
          </w:tcPr>
          <w:p w14:paraId="046B9E80" w14:textId="3CD413B6" w:rsidR="00954430" w:rsidRPr="00C34D05" w:rsidRDefault="00954430" w:rsidP="00954430">
            <w:pPr>
              <w:jc w:val="center"/>
              <w:rPr>
                <w:b/>
                <w:bCs/>
                <w:sz w:val="20"/>
                <w:szCs w:val="20"/>
              </w:rPr>
            </w:pPr>
            <w:r w:rsidRPr="00C34D05">
              <w:rPr>
                <w:b/>
                <w:bCs/>
                <w:sz w:val="20"/>
                <w:szCs w:val="20"/>
              </w:rPr>
              <w:t>Customer-sited storage</w:t>
            </w:r>
          </w:p>
        </w:tc>
        <w:tc>
          <w:tcPr>
            <w:tcW w:w="1870" w:type="dxa"/>
          </w:tcPr>
          <w:p w14:paraId="2FAC42F5" w14:textId="26EA1891" w:rsidR="00954430" w:rsidRPr="00C34D05" w:rsidRDefault="00954430" w:rsidP="00954430">
            <w:pPr>
              <w:jc w:val="center"/>
              <w:rPr>
                <w:b/>
                <w:bCs/>
                <w:sz w:val="20"/>
                <w:szCs w:val="20"/>
              </w:rPr>
            </w:pPr>
            <w:r w:rsidRPr="00C34D05">
              <w:rPr>
                <w:b/>
                <w:bCs/>
                <w:sz w:val="20"/>
                <w:szCs w:val="20"/>
              </w:rPr>
              <w:t>Self-contained storage</w:t>
            </w:r>
          </w:p>
        </w:tc>
        <w:tc>
          <w:tcPr>
            <w:tcW w:w="3740" w:type="dxa"/>
            <w:gridSpan w:val="2"/>
            <w:vAlign w:val="center"/>
          </w:tcPr>
          <w:p w14:paraId="2E54EB7D" w14:textId="36DB7610" w:rsidR="00954430" w:rsidRPr="00C34D05" w:rsidRDefault="00954430" w:rsidP="00954430">
            <w:pPr>
              <w:jc w:val="center"/>
              <w:rPr>
                <w:b/>
                <w:bCs/>
                <w:sz w:val="20"/>
                <w:szCs w:val="20"/>
              </w:rPr>
            </w:pPr>
            <w:r w:rsidRPr="00C34D05">
              <w:rPr>
                <w:b/>
                <w:bCs/>
                <w:sz w:val="20"/>
                <w:szCs w:val="20"/>
              </w:rPr>
              <w:t>Cross-sector storage</w:t>
            </w:r>
          </w:p>
        </w:tc>
      </w:tr>
      <w:tr w:rsidR="0030689E" w14:paraId="10DAE635" w14:textId="77777777" w:rsidTr="0065558F">
        <w:tc>
          <w:tcPr>
            <w:tcW w:w="1870" w:type="dxa"/>
            <w:vAlign w:val="center"/>
          </w:tcPr>
          <w:p w14:paraId="0D1E09D2" w14:textId="2D1E617B" w:rsidR="0030689E" w:rsidRPr="00954430" w:rsidRDefault="00954430" w:rsidP="0030689E">
            <w:pPr>
              <w:rPr>
                <w:sz w:val="20"/>
                <w:szCs w:val="20"/>
              </w:rPr>
            </w:pPr>
            <w:r w:rsidRPr="00954430">
              <w:rPr>
                <w:sz w:val="20"/>
                <w:szCs w:val="20"/>
              </w:rPr>
              <w:t>Examples modeled  and included in taxonomy</w:t>
            </w:r>
          </w:p>
        </w:tc>
        <w:tc>
          <w:tcPr>
            <w:tcW w:w="1870" w:type="dxa"/>
          </w:tcPr>
          <w:p w14:paraId="2E673E8A" w14:textId="7DFD2C56" w:rsidR="0030689E" w:rsidRPr="00954430" w:rsidRDefault="00954430" w:rsidP="0030689E">
            <w:pPr>
              <w:rPr>
                <w:sz w:val="20"/>
                <w:szCs w:val="20"/>
              </w:rPr>
            </w:pPr>
            <w:r w:rsidRPr="00954430">
              <w:rPr>
                <w:sz w:val="20"/>
                <w:szCs w:val="20"/>
              </w:rPr>
              <w:t>Hot and chilled</w:t>
            </w:r>
            <w:r w:rsidR="0065558F">
              <w:rPr>
                <w:sz w:val="20"/>
                <w:szCs w:val="20"/>
              </w:rPr>
              <w:t xml:space="preserve"> </w:t>
            </w:r>
            <w:r w:rsidRPr="00954430">
              <w:rPr>
                <w:sz w:val="20"/>
                <w:szCs w:val="20"/>
              </w:rPr>
              <w:t>water</w:t>
            </w:r>
          </w:p>
          <w:p w14:paraId="3B3463B9" w14:textId="77777777" w:rsidR="00954430" w:rsidRDefault="00013BB7" w:rsidP="0030689E">
            <w:pPr>
              <w:rPr>
                <w:sz w:val="20"/>
                <w:szCs w:val="20"/>
              </w:rPr>
            </w:pPr>
            <w:r>
              <w:rPr>
                <w:sz w:val="20"/>
                <w:szCs w:val="20"/>
              </w:rPr>
              <w:t>On-site b</w:t>
            </w:r>
            <w:r w:rsidR="00954430" w:rsidRPr="00954430">
              <w:rPr>
                <w:sz w:val="20"/>
                <w:szCs w:val="20"/>
              </w:rPr>
              <w:t>atteries</w:t>
            </w:r>
          </w:p>
          <w:p w14:paraId="1DF39AEF" w14:textId="77777777" w:rsidR="00013BB7" w:rsidRDefault="00013BB7" w:rsidP="0030689E">
            <w:pPr>
              <w:rPr>
                <w:sz w:val="20"/>
                <w:szCs w:val="20"/>
              </w:rPr>
            </w:pPr>
            <w:r>
              <w:rPr>
                <w:sz w:val="20"/>
                <w:szCs w:val="20"/>
              </w:rPr>
              <w:t>Thermal mass of building</w:t>
            </w:r>
          </w:p>
          <w:p w14:paraId="546B8080" w14:textId="44707797" w:rsidR="00013BB7" w:rsidRPr="00954430" w:rsidRDefault="00013BB7" w:rsidP="0030689E">
            <w:pPr>
              <w:rPr>
                <w:sz w:val="20"/>
                <w:szCs w:val="20"/>
              </w:rPr>
            </w:pPr>
            <w:r>
              <w:rPr>
                <w:sz w:val="20"/>
                <w:szCs w:val="20"/>
              </w:rPr>
              <w:t>Water pumping</w:t>
            </w:r>
          </w:p>
        </w:tc>
        <w:tc>
          <w:tcPr>
            <w:tcW w:w="1870" w:type="dxa"/>
          </w:tcPr>
          <w:p w14:paraId="05FF5580" w14:textId="77777777" w:rsidR="0030689E" w:rsidRPr="00954430" w:rsidRDefault="00954430" w:rsidP="0030689E">
            <w:pPr>
              <w:rPr>
                <w:sz w:val="20"/>
                <w:szCs w:val="20"/>
              </w:rPr>
            </w:pPr>
            <w:r w:rsidRPr="00954430">
              <w:rPr>
                <w:sz w:val="20"/>
                <w:szCs w:val="20"/>
              </w:rPr>
              <w:t>Batteries</w:t>
            </w:r>
          </w:p>
          <w:p w14:paraId="606863B0" w14:textId="4A8ED752" w:rsidR="00954430" w:rsidRPr="00954430" w:rsidRDefault="0065558F" w:rsidP="0030689E">
            <w:pPr>
              <w:rPr>
                <w:sz w:val="20"/>
                <w:szCs w:val="20"/>
              </w:rPr>
            </w:pPr>
            <w:r>
              <w:rPr>
                <w:sz w:val="20"/>
                <w:szCs w:val="20"/>
              </w:rPr>
              <w:t>Gravity storage</w:t>
            </w:r>
          </w:p>
          <w:p w14:paraId="3B2D85B8" w14:textId="74B2BACA" w:rsidR="00954430" w:rsidRPr="00954430" w:rsidRDefault="00954430" w:rsidP="0030689E">
            <w:pPr>
              <w:rPr>
                <w:sz w:val="20"/>
                <w:szCs w:val="20"/>
              </w:rPr>
            </w:pPr>
            <w:r w:rsidRPr="00954430">
              <w:rPr>
                <w:sz w:val="20"/>
                <w:szCs w:val="20"/>
              </w:rPr>
              <w:t>Hydrogen stored on</w:t>
            </w:r>
            <w:r w:rsidR="00F036A3">
              <w:rPr>
                <w:sz w:val="20"/>
                <w:szCs w:val="20"/>
              </w:rPr>
              <w:t>-</w:t>
            </w:r>
            <w:r w:rsidRPr="00954430">
              <w:rPr>
                <w:sz w:val="20"/>
                <w:szCs w:val="20"/>
              </w:rPr>
              <w:t>site for electricity generation</w:t>
            </w:r>
          </w:p>
        </w:tc>
        <w:tc>
          <w:tcPr>
            <w:tcW w:w="1870" w:type="dxa"/>
          </w:tcPr>
          <w:p w14:paraId="73897505" w14:textId="77777777" w:rsidR="0030689E" w:rsidRDefault="00954430" w:rsidP="0030689E">
            <w:pPr>
              <w:rPr>
                <w:sz w:val="20"/>
                <w:szCs w:val="20"/>
              </w:rPr>
            </w:pPr>
            <w:r>
              <w:rPr>
                <w:sz w:val="20"/>
                <w:szCs w:val="20"/>
              </w:rPr>
              <w:t>Hydrogen for transportation, etc.</w:t>
            </w:r>
          </w:p>
          <w:p w14:paraId="5C6FA7CD" w14:textId="249C3E89" w:rsidR="0065558F" w:rsidRPr="00954430" w:rsidRDefault="0065558F" w:rsidP="0030689E">
            <w:pPr>
              <w:rPr>
                <w:sz w:val="20"/>
                <w:szCs w:val="20"/>
              </w:rPr>
            </w:pPr>
            <w:r>
              <w:rPr>
                <w:sz w:val="20"/>
                <w:szCs w:val="20"/>
              </w:rPr>
              <w:t>Power-to-X</w:t>
            </w:r>
          </w:p>
        </w:tc>
        <w:tc>
          <w:tcPr>
            <w:tcW w:w="1870" w:type="dxa"/>
          </w:tcPr>
          <w:p w14:paraId="42E11714" w14:textId="4616096E" w:rsidR="0030689E" w:rsidRDefault="00F036A3" w:rsidP="0030689E">
            <w:pPr>
              <w:rPr>
                <w:sz w:val="20"/>
                <w:szCs w:val="20"/>
              </w:rPr>
            </w:pPr>
            <w:r>
              <w:rPr>
                <w:sz w:val="20"/>
                <w:szCs w:val="20"/>
              </w:rPr>
              <w:t>Hydrogen brought from underground storage</w:t>
            </w:r>
          </w:p>
          <w:p w14:paraId="42855A02" w14:textId="6DF0C095" w:rsidR="0065558F" w:rsidRPr="00954430" w:rsidRDefault="0065558F" w:rsidP="0030689E">
            <w:pPr>
              <w:rPr>
                <w:sz w:val="20"/>
                <w:szCs w:val="20"/>
              </w:rPr>
            </w:pPr>
            <w:r>
              <w:rPr>
                <w:sz w:val="20"/>
                <w:szCs w:val="20"/>
              </w:rPr>
              <w:t xml:space="preserve">Ammonia or other fuel </w:t>
            </w:r>
            <w:r w:rsidR="00072C83">
              <w:rPr>
                <w:sz w:val="20"/>
                <w:szCs w:val="20"/>
              </w:rPr>
              <w:t>made from electricity</w:t>
            </w:r>
          </w:p>
        </w:tc>
      </w:tr>
      <w:tr w:rsidR="0030689E" w14:paraId="0DCA6E4D" w14:textId="77777777" w:rsidTr="0065558F">
        <w:tc>
          <w:tcPr>
            <w:tcW w:w="1870" w:type="dxa"/>
            <w:vAlign w:val="center"/>
          </w:tcPr>
          <w:p w14:paraId="38BE2CD0" w14:textId="5BA96EF1" w:rsidR="0030689E" w:rsidRPr="00954430" w:rsidRDefault="00954430" w:rsidP="0030689E">
            <w:pPr>
              <w:rPr>
                <w:sz w:val="20"/>
                <w:szCs w:val="20"/>
              </w:rPr>
            </w:pPr>
            <w:r w:rsidRPr="00954430">
              <w:rPr>
                <w:sz w:val="20"/>
                <w:szCs w:val="20"/>
              </w:rPr>
              <w:t xml:space="preserve">Examples included in </w:t>
            </w:r>
            <w:r w:rsidR="00C34D05">
              <w:rPr>
                <w:sz w:val="20"/>
                <w:szCs w:val="20"/>
              </w:rPr>
              <w:t xml:space="preserve">electrical </w:t>
            </w:r>
            <w:r w:rsidRPr="00954430">
              <w:rPr>
                <w:sz w:val="20"/>
                <w:szCs w:val="20"/>
              </w:rPr>
              <w:t>modeling, but not called “storage”</w:t>
            </w:r>
          </w:p>
        </w:tc>
        <w:tc>
          <w:tcPr>
            <w:tcW w:w="1870" w:type="dxa"/>
          </w:tcPr>
          <w:p w14:paraId="72C9EBD2" w14:textId="4B10BCDB" w:rsidR="0030689E" w:rsidRPr="00954430" w:rsidRDefault="00013BB7" w:rsidP="0030689E">
            <w:pPr>
              <w:rPr>
                <w:sz w:val="20"/>
                <w:szCs w:val="20"/>
              </w:rPr>
            </w:pPr>
            <w:r>
              <w:rPr>
                <w:sz w:val="20"/>
                <w:szCs w:val="20"/>
              </w:rPr>
              <w:t>Energy efficiency</w:t>
            </w:r>
            <w:r w:rsidR="00DC5EDD">
              <w:rPr>
                <w:sz w:val="20"/>
                <w:szCs w:val="20"/>
              </w:rPr>
              <w:t xml:space="preserve"> Demand management not involving energy storage</w:t>
            </w:r>
          </w:p>
        </w:tc>
        <w:tc>
          <w:tcPr>
            <w:tcW w:w="1870" w:type="dxa"/>
          </w:tcPr>
          <w:p w14:paraId="4768C356" w14:textId="77777777" w:rsidR="0030689E" w:rsidRPr="00954430" w:rsidRDefault="0030689E" w:rsidP="0030689E">
            <w:pPr>
              <w:rPr>
                <w:sz w:val="20"/>
                <w:szCs w:val="20"/>
              </w:rPr>
            </w:pPr>
          </w:p>
        </w:tc>
        <w:tc>
          <w:tcPr>
            <w:tcW w:w="1870" w:type="dxa"/>
          </w:tcPr>
          <w:p w14:paraId="191A9163" w14:textId="06A77C1A" w:rsidR="0030689E" w:rsidRPr="00954430" w:rsidRDefault="00F036A3" w:rsidP="0030689E">
            <w:pPr>
              <w:rPr>
                <w:sz w:val="20"/>
                <w:szCs w:val="20"/>
              </w:rPr>
            </w:pPr>
            <w:r>
              <w:rPr>
                <w:sz w:val="20"/>
                <w:szCs w:val="20"/>
              </w:rPr>
              <w:t>Thermal energy used for industrial process</w:t>
            </w:r>
          </w:p>
        </w:tc>
        <w:tc>
          <w:tcPr>
            <w:tcW w:w="1870" w:type="dxa"/>
          </w:tcPr>
          <w:p w14:paraId="1451F321" w14:textId="77777777" w:rsidR="0030689E" w:rsidRDefault="00F036A3" w:rsidP="0030689E">
            <w:pPr>
              <w:rPr>
                <w:sz w:val="20"/>
                <w:szCs w:val="20"/>
              </w:rPr>
            </w:pPr>
            <w:r>
              <w:rPr>
                <w:sz w:val="20"/>
                <w:szCs w:val="20"/>
              </w:rPr>
              <w:t>Biogas</w:t>
            </w:r>
          </w:p>
          <w:p w14:paraId="2B483FF5" w14:textId="7E0567E6" w:rsidR="00E14079" w:rsidRPr="00954430" w:rsidRDefault="00E14079" w:rsidP="0030689E">
            <w:pPr>
              <w:rPr>
                <w:sz w:val="20"/>
                <w:szCs w:val="20"/>
              </w:rPr>
            </w:pPr>
            <w:r>
              <w:rPr>
                <w:sz w:val="20"/>
                <w:szCs w:val="20"/>
              </w:rPr>
              <w:t>Natural gas plant with carbon sequestration</w:t>
            </w:r>
          </w:p>
        </w:tc>
      </w:tr>
    </w:tbl>
    <w:p w14:paraId="5D807466" w14:textId="77777777" w:rsidR="0030689E" w:rsidRDefault="0030689E" w:rsidP="0030689E"/>
    <w:p w14:paraId="4310F873" w14:textId="39917BE3" w:rsidR="00A06FA3" w:rsidRDefault="00C358CE" w:rsidP="00CB29D3">
      <w:r>
        <w:t>We propose a second piece of the</w:t>
      </w:r>
      <w:r w:rsidR="00A06FA3">
        <w:t xml:space="preserve"> taxonomy</w:t>
      </w:r>
      <w:r>
        <w:t xml:space="preserve"> (Fig. 2)</w:t>
      </w:r>
      <w:r w:rsidR="00A06FA3">
        <w:t xml:space="preserve"> </w:t>
      </w:r>
      <w:r>
        <w:t xml:space="preserve">related to the relative amount of energy stored. When modeling the roles of storage, </w:t>
      </w:r>
      <w:r w:rsidR="00C631D6">
        <w:t xml:space="preserve">a short-time-resolution (hourly or even </w:t>
      </w:r>
      <w:proofErr w:type="spellStart"/>
      <w:r w:rsidR="00C631D6">
        <w:t>subhourly</w:t>
      </w:r>
      <w:proofErr w:type="spellEnd"/>
      <w:r w:rsidR="00C631D6">
        <w:t>) model aids in understanding</w:t>
      </w:r>
      <w:r>
        <w:t xml:space="preserve"> how storage </w:t>
      </w:r>
      <w:r w:rsidR="00C631D6">
        <w:t>may help meet</w:t>
      </w:r>
      <w:r>
        <w:t xml:space="preserve"> the peak load of the year or of the day.</w:t>
      </w:r>
      <w:r w:rsidR="00C631D6">
        <w:t xml:space="preserve"> </w:t>
      </w:r>
      <w:r w:rsidR="00F1299B">
        <w:t>R</w:t>
      </w:r>
      <w:r w:rsidR="00CC4F35">
        <w:t>educing</w:t>
      </w:r>
      <w:r w:rsidR="00C631D6">
        <w:t xml:space="preserve"> the peak demand is </w:t>
      </w:r>
      <w:r w:rsidR="00F1299B">
        <w:t>a</w:t>
      </w:r>
      <w:r w:rsidR="00C631D6">
        <w:t xml:space="preserve"> “short-duration storage” application. We propose that long-duration storage applications include 1) diurnal storage, 2) cross-day storage, and 3) seasonal storage. The modeled contiguous timesteps need to span the time from when energy is added to a storage reservoir to when the energy is withdrawn from the reservoir</w:t>
      </w:r>
      <w:r w:rsidR="00F1299B">
        <w:t xml:space="preserve">, as indicated </w:t>
      </w:r>
      <w:r w:rsidR="00F1299B">
        <w:lastRenderedPageBreak/>
        <w:t>in Fig. 2, left side</w:t>
      </w:r>
      <w:r w:rsidR="00C631D6">
        <w:t>. For a given grid design and weather, a model can identify the</w:t>
      </w:r>
      <w:r w:rsidR="00F1299B">
        <w:t xml:space="preserve"> cycling</w:t>
      </w:r>
      <w:r w:rsidR="00C631D6">
        <w:t xml:space="preserve"> frequency </w:t>
      </w:r>
      <w:r w:rsidR="00F1299B">
        <w:t>of</w:t>
      </w:r>
      <w:r w:rsidR="00C631D6">
        <w:t xml:space="preserve"> the short-duration and long-duration (diurnal, cross-day and seasonal) storage reservoirs. These define the storage applications</w:t>
      </w:r>
      <w:r w:rsidR="00CC4F35">
        <w:t xml:space="preserve"> that need to be met to achieve a stable grid</w:t>
      </w:r>
      <w:r w:rsidR="00F1299B">
        <w:t>, providing the foundation for taking actions to create a stable zero-carbon-emissions grid</w:t>
      </w:r>
      <w:r w:rsidR="00C631D6">
        <w:t>.</w:t>
      </w:r>
    </w:p>
    <w:p w14:paraId="1F20B7C8" w14:textId="4537263C" w:rsidR="0030689E" w:rsidRDefault="0030689E" w:rsidP="00CB29D3"/>
    <w:p w14:paraId="6FC29693" w14:textId="37851B4A" w:rsidR="0030689E" w:rsidRDefault="0030689E" w:rsidP="00CB29D3">
      <w:r w:rsidRPr="0030689E">
        <w:drawing>
          <wp:inline distT="0" distB="0" distL="0" distR="0" wp14:anchorId="0874AE31" wp14:editId="6471BD5F">
            <wp:extent cx="5943600" cy="12166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16660"/>
                    </a:xfrm>
                    <a:prstGeom prst="rect">
                      <a:avLst/>
                    </a:prstGeom>
                  </pic:spPr>
                </pic:pic>
              </a:graphicData>
            </a:graphic>
          </wp:inline>
        </w:drawing>
      </w:r>
    </w:p>
    <w:p w14:paraId="44E53B67" w14:textId="0D4FF2A5" w:rsidR="00A06FA3" w:rsidRDefault="00C631D6" w:rsidP="00CB29D3">
      <w:r>
        <w:t xml:space="preserve">Fig. 2. Taxonomy </w:t>
      </w:r>
      <w:r w:rsidR="00932E26">
        <w:t>for modeling of storage</w:t>
      </w:r>
      <w:r w:rsidR="008D399F">
        <w:t xml:space="preserve"> (left)</w:t>
      </w:r>
      <w:r w:rsidR="00932E26">
        <w:t xml:space="preserve"> and implications for implementation</w:t>
      </w:r>
      <w:r w:rsidR="008D399F">
        <w:t xml:space="preserve"> (right)</w:t>
      </w:r>
    </w:p>
    <w:p w14:paraId="7F5607E4" w14:textId="61FDEC8F" w:rsidR="00C631D6" w:rsidRDefault="00C631D6" w:rsidP="00CB29D3"/>
    <w:p w14:paraId="65692401" w14:textId="796A7BF6" w:rsidR="00932E26" w:rsidRDefault="00932E26" w:rsidP="00CB29D3">
      <w:r>
        <w:t>Once the grid’s requirements for short-duration and the various long-duration storage applications</w:t>
      </w:r>
      <w:r w:rsidR="00172D5F">
        <w:t>/requirements</w:t>
      </w:r>
      <w:r>
        <w:t xml:space="preserve"> have been identified, the next step is to develop technologies that can meet those needs</w:t>
      </w:r>
      <w:r w:rsidR="008D399F">
        <w:t xml:space="preserve"> (right side of Fig. 2)</w:t>
      </w:r>
      <w:r>
        <w:t xml:space="preserve">.  We anticipate that it will be useful to the grid to have access to many storage technologies and that many of those technologies may address multiple storage applications. It is tempting to label a technology as a “short-duration” or “long-duration” storage technology, but it could be possible for any storage technology to address all storage </w:t>
      </w:r>
      <w:r w:rsidR="00172D5F">
        <w:t>requirements</w:t>
      </w:r>
      <w:r>
        <w:t xml:space="preserve">. </w:t>
      </w:r>
      <w:r w:rsidR="008A7576">
        <w:t>On the other hand, some</w:t>
      </w:r>
      <w:r w:rsidR="003045C3">
        <w:t xml:space="preserve"> storage</w:t>
      </w:r>
      <w:r w:rsidR="008A7576">
        <w:t xml:space="preserve"> technologies may be better suited </w:t>
      </w:r>
      <w:r w:rsidR="003045C3">
        <w:t>to address short-duration applications while others may be better suited for long-duration storage applications.</w:t>
      </w:r>
    </w:p>
    <w:p w14:paraId="05228288" w14:textId="17F6601E" w:rsidR="0039706E" w:rsidRDefault="0039706E" w:rsidP="00CB29D3"/>
    <w:p w14:paraId="61D22807" w14:textId="34058A56" w:rsidR="0039706E" w:rsidRPr="0039706E" w:rsidRDefault="0039706E" w:rsidP="00CB29D3">
      <w:pPr>
        <w:rPr>
          <w:b/>
          <w:bCs/>
        </w:rPr>
      </w:pPr>
      <w:r w:rsidRPr="0039706E">
        <w:rPr>
          <w:b/>
          <w:bCs/>
        </w:rPr>
        <w:t>Competition between types of storage</w:t>
      </w:r>
    </w:p>
    <w:p w14:paraId="5398DE42" w14:textId="2A935BBA" w:rsidR="0039706E" w:rsidRDefault="0039706E" w:rsidP="00CB29D3"/>
    <w:p w14:paraId="7691423B" w14:textId="5AF9CBDA" w:rsidR="0039706E" w:rsidRDefault="0039706E" w:rsidP="0039706E">
      <w:r>
        <w:t xml:space="preserve">The schematic in Fig. </w:t>
      </w:r>
      <w:r>
        <w:t>3</w:t>
      </w:r>
      <w:r>
        <w:t xml:space="preserve"> suggests how different types of storage may compete to meet the range of storage requirements. Technologies built into self-contained storage systems with large energy reservoirs have the potential to meet all of our storage needs. However, short-duration storage applications may be addressed at lower cost by storage systems that have small energy storage reservoirs. Conversely, seasonal storage applications may be met at lower cost by cross-sector storage that can leverage huge energy reservoirs used on a daily basis by the transportation, chemical and/or other sectors. </w:t>
      </w:r>
      <w:r>
        <w:t>Technology development efforts should consider the storage applications and what other technologies will be competing to meet those needs.</w:t>
      </w:r>
    </w:p>
    <w:p w14:paraId="3DA6BADC" w14:textId="77777777" w:rsidR="0039706E" w:rsidRDefault="0039706E" w:rsidP="0039706E">
      <w:pPr>
        <w:rPr>
          <w:b/>
          <w:bCs/>
        </w:rPr>
      </w:pPr>
    </w:p>
    <w:p w14:paraId="405B5347" w14:textId="77777777" w:rsidR="0039706E" w:rsidRDefault="0039706E" w:rsidP="0039706E">
      <w:pPr>
        <w:jc w:val="center"/>
        <w:rPr>
          <w:b/>
          <w:bCs/>
        </w:rPr>
      </w:pPr>
      <w:r w:rsidRPr="00316DD9">
        <w:lastRenderedPageBreak/>
        <w:drawing>
          <wp:inline distT="0" distB="0" distL="0" distR="0" wp14:anchorId="5FBB20B7" wp14:editId="28E3051E">
            <wp:extent cx="3898900" cy="2006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8900" cy="2006600"/>
                    </a:xfrm>
                    <a:prstGeom prst="rect">
                      <a:avLst/>
                    </a:prstGeom>
                  </pic:spPr>
                </pic:pic>
              </a:graphicData>
            </a:graphic>
          </wp:inline>
        </w:drawing>
      </w:r>
    </w:p>
    <w:p w14:paraId="0A969DF8" w14:textId="77777777" w:rsidR="0039706E" w:rsidRPr="008448DA" w:rsidRDefault="0039706E" w:rsidP="0039706E">
      <w:pPr>
        <w:rPr>
          <w:sz w:val="22"/>
          <w:szCs w:val="22"/>
        </w:rPr>
      </w:pPr>
      <w:r w:rsidRPr="008448DA">
        <w:rPr>
          <w:sz w:val="22"/>
          <w:szCs w:val="22"/>
        </w:rPr>
        <w:t xml:space="preserve">Fig. </w:t>
      </w:r>
      <w:r>
        <w:rPr>
          <w:sz w:val="22"/>
          <w:szCs w:val="22"/>
        </w:rPr>
        <w:t>3</w:t>
      </w:r>
      <w:r w:rsidRPr="008448DA">
        <w:rPr>
          <w:sz w:val="22"/>
          <w:szCs w:val="22"/>
        </w:rPr>
        <w:t xml:space="preserve">. </w:t>
      </w:r>
      <w:r>
        <w:rPr>
          <w:sz w:val="22"/>
          <w:szCs w:val="22"/>
        </w:rPr>
        <w:t>How</w:t>
      </w:r>
      <w:r w:rsidRPr="008448DA">
        <w:rPr>
          <w:sz w:val="22"/>
          <w:szCs w:val="22"/>
        </w:rPr>
        <w:t xml:space="preserve"> </w:t>
      </w:r>
      <w:r>
        <w:rPr>
          <w:sz w:val="22"/>
          <w:szCs w:val="22"/>
        </w:rPr>
        <w:t>types of</w:t>
      </w:r>
      <w:r w:rsidRPr="008448DA">
        <w:rPr>
          <w:sz w:val="22"/>
          <w:szCs w:val="22"/>
        </w:rPr>
        <w:t xml:space="preserve"> storage</w:t>
      </w:r>
      <w:r>
        <w:rPr>
          <w:sz w:val="22"/>
          <w:szCs w:val="22"/>
        </w:rPr>
        <w:t xml:space="preserve"> systems</w:t>
      </w:r>
      <w:r w:rsidRPr="008448DA">
        <w:rPr>
          <w:sz w:val="22"/>
          <w:szCs w:val="22"/>
        </w:rPr>
        <w:t xml:space="preserve"> (blue shapes) </w:t>
      </w:r>
      <w:r>
        <w:rPr>
          <w:sz w:val="22"/>
          <w:szCs w:val="22"/>
        </w:rPr>
        <w:t>may compete</w:t>
      </w:r>
      <w:r w:rsidRPr="008448DA">
        <w:rPr>
          <w:sz w:val="22"/>
          <w:szCs w:val="22"/>
        </w:rPr>
        <w:t xml:space="preserve"> to meet storage needs</w:t>
      </w:r>
      <w:r>
        <w:rPr>
          <w:sz w:val="22"/>
          <w:szCs w:val="22"/>
        </w:rPr>
        <w:t xml:space="preserve"> (green)</w:t>
      </w:r>
    </w:p>
    <w:p w14:paraId="4F36D808" w14:textId="77777777" w:rsidR="0039706E" w:rsidRDefault="0039706E" w:rsidP="0039706E">
      <w:pPr>
        <w:rPr>
          <w:b/>
          <w:bCs/>
        </w:rPr>
      </w:pPr>
    </w:p>
    <w:p w14:paraId="1358B23D" w14:textId="545B2CC6" w:rsidR="009969D8" w:rsidRDefault="009969D8" w:rsidP="00CB29D3"/>
    <w:p w14:paraId="5666CAB1" w14:textId="45D7FC52" w:rsidR="00F42F6B" w:rsidRPr="00E66EB9" w:rsidRDefault="004C0DEA" w:rsidP="00F42F6B">
      <w:pPr>
        <w:rPr>
          <w:b/>
          <w:bCs/>
        </w:rPr>
      </w:pPr>
      <w:r>
        <w:rPr>
          <w:b/>
          <w:bCs/>
        </w:rPr>
        <w:t>Large-scale energy storage</w:t>
      </w:r>
    </w:p>
    <w:p w14:paraId="407AC8D0" w14:textId="77777777" w:rsidR="00F42F6B" w:rsidRDefault="00F42F6B" w:rsidP="00F42F6B"/>
    <w:p w14:paraId="1F031572" w14:textId="7D4C1EE8" w:rsidR="001D5E47" w:rsidRDefault="001D5E47" w:rsidP="00F42F6B">
      <w:r>
        <w:t xml:space="preserve">Energy storage is an </w:t>
      </w:r>
      <w:r w:rsidR="004C0DEA">
        <w:t>essential</w:t>
      </w:r>
      <w:r>
        <w:t xml:space="preserve"> part of energy security. </w:t>
      </w:r>
      <w:r w:rsidR="004C0DEA">
        <w:t xml:space="preserve">As shown in Fig. </w:t>
      </w:r>
      <w:r w:rsidR="0039706E">
        <w:t>4</w:t>
      </w:r>
      <w:r w:rsidR="004C0DEA">
        <w:t>, currently, t</w:t>
      </w:r>
      <w:r>
        <w:t>he United States maintains energy storage</w:t>
      </w:r>
      <w:r w:rsidR="00CD5921">
        <w:t xml:space="preserve"> mostly</w:t>
      </w:r>
      <w:r>
        <w:t xml:space="preserve"> to </w:t>
      </w:r>
      <w:r w:rsidR="00CD5921">
        <w:t>supply the</w:t>
      </w:r>
      <w:r>
        <w:t xml:space="preserve"> transportation </w:t>
      </w:r>
      <w:r w:rsidR="00CD5921">
        <w:t>sector</w:t>
      </w:r>
      <w:r>
        <w:t xml:space="preserve"> (jet fuel</w:t>
      </w:r>
      <w:r w:rsidR="004C0DEA">
        <w:t>,</w:t>
      </w:r>
      <w:r>
        <w:t xml:space="preserve"> motor fuels</w:t>
      </w:r>
      <w:r w:rsidR="004C0DEA">
        <w:t>, and oil to make these</w:t>
      </w:r>
      <w:r>
        <w:t>)</w:t>
      </w:r>
      <w:r w:rsidR="00CD5921">
        <w:t xml:space="preserve"> and</w:t>
      </w:r>
      <w:r>
        <w:t xml:space="preserve"> heating </w:t>
      </w:r>
      <w:r w:rsidR="00CD5921">
        <w:t>sector</w:t>
      </w:r>
      <w:r>
        <w:t xml:space="preserve"> (oil and natural gas</w:t>
      </w:r>
      <w:r w:rsidR="00CD5921">
        <w:t>)</w:t>
      </w:r>
      <w:r>
        <w:t>.</w:t>
      </w:r>
      <w:r w:rsidR="00CD5921">
        <w:t xml:space="preserve"> The chemical industry and power sector also rely on storage described in Fig. </w:t>
      </w:r>
      <w:r w:rsidR="0039706E">
        <w:t>4, with their chemicals/fuels sometimes mixed with those of the other sectors</w:t>
      </w:r>
      <w:r w:rsidR="00CD5921">
        <w:t>.</w:t>
      </w:r>
      <w:r>
        <w:t xml:space="preserve"> </w:t>
      </w:r>
      <w:r w:rsidR="00CD5921">
        <w:t>Maintaining energy storage to</w:t>
      </w:r>
      <w:r w:rsidR="0039706E">
        <w:t xml:space="preserve"> simultaneously</w:t>
      </w:r>
      <w:r w:rsidR="00CD5921">
        <w:t xml:space="preserve"> serve many sectors increase</w:t>
      </w:r>
      <w:r w:rsidR="004C0DEA">
        <w:t>s</w:t>
      </w:r>
      <w:r w:rsidR="00CD5921">
        <w:t xml:space="preserve"> flexibility and </w:t>
      </w:r>
      <w:r w:rsidR="004C0DEA">
        <w:t>reduces</w:t>
      </w:r>
      <w:r w:rsidR="00CD5921">
        <w:t xml:space="preserve"> costs. If the energy represented in Fig. </w:t>
      </w:r>
      <w:r w:rsidR="0039706E">
        <w:t>4</w:t>
      </w:r>
      <w:r w:rsidR="00CD5921">
        <w:t xml:space="preserve"> were converted to electricity, it could </w:t>
      </w:r>
      <w:r w:rsidR="004C0DEA">
        <w:t>yield more than four months of electricity for the U.S.</w:t>
      </w:r>
      <w:r w:rsidR="0039706E">
        <w:t xml:space="preserve"> </w:t>
      </w:r>
      <w:r w:rsidR="004C0DEA">
        <w:t xml:space="preserve"> In a decarbonized world, </w:t>
      </w:r>
      <w:r w:rsidR="0039706E">
        <w:t>it is useful to consider the energy storage needed for other sectors</w:t>
      </w:r>
      <w:r w:rsidR="0039706E">
        <w:t xml:space="preserve"> as</w:t>
      </w:r>
      <w:r w:rsidR="004C0DEA">
        <w:t xml:space="preserve"> we plan for long-duration storage for the power sector.</w:t>
      </w:r>
    </w:p>
    <w:p w14:paraId="1B668B27" w14:textId="47F50E3D" w:rsidR="001D5E47" w:rsidRDefault="001D5E47" w:rsidP="00F42F6B"/>
    <w:p w14:paraId="1F302768" w14:textId="3602A529" w:rsidR="001D5E47" w:rsidRDefault="001D5E47" w:rsidP="001D5E47">
      <w:pPr>
        <w:jc w:val="center"/>
      </w:pPr>
      <w:r w:rsidRPr="001D5E47">
        <w:drawing>
          <wp:inline distT="0" distB="0" distL="0" distR="0" wp14:anchorId="1E86DF67" wp14:editId="7C582848">
            <wp:extent cx="2648078" cy="231935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1294" cy="2330927"/>
                    </a:xfrm>
                    <a:prstGeom prst="rect">
                      <a:avLst/>
                    </a:prstGeom>
                  </pic:spPr>
                </pic:pic>
              </a:graphicData>
            </a:graphic>
          </wp:inline>
        </w:drawing>
      </w:r>
    </w:p>
    <w:p w14:paraId="4348AC5F" w14:textId="3A6BC11E" w:rsidR="001D5E47" w:rsidRDefault="001D5E47" w:rsidP="001D5E47">
      <w:r>
        <w:t xml:space="preserve">Fig. </w:t>
      </w:r>
      <w:r w:rsidR="0039706E">
        <w:t>4</w:t>
      </w:r>
      <w:r>
        <w:t xml:space="preserve">. </w:t>
      </w:r>
      <w:r>
        <w:t xml:space="preserve">Approximate energy storage used to supply the transportation, heating, power, and chemical sectors. The natural gas stored for heating applications was </w:t>
      </w:r>
      <w:r>
        <w:t>estimate</w:t>
      </w:r>
      <w:r>
        <w:t xml:space="preserve">d from the </w:t>
      </w:r>
      <w:r w:rsidR="00CD5921">
        <w:t xml:space="preserve">depletion of </w:t>
      </w:r>
      <w:r>
        <w:t xml:space="preserve">the </w:t>
      </w:r>
      <w:r w:rsidR="00CD5921">
        <w:t xml:space="preserve">stored natural gas during the heating season. The 350 </w:t>
      </w:r>
      <w:proofErr w:type="spellStart"/>
      <w:r w:rsidR="00CD5921">
        <w:t>TWh</w:t>
      </w:r>
      <w:proofErr w:type="spellEnd"/>
      <w:r w:rsidR="00CD5921">
        <w:t xml:space="preserve"> “Natural gas” may be used for power generation, heating, or other uses.</w:t>
      </w:r>
      <w:r w:rsidR="004C0DEA" w:rsidRPr="004C0DEA">
        <w:t xml:space="preserve"> </w:t>
      </w:r>
      <w:r w:rsidR="004C0DEA">
        <w:t xml:space="preserve">The strategic petroleum reserve </w:t>
      </w:r>
      <w:r w:rsidR="004C0DEA">
        <w:t xml:space="preserve">is the largest </w:t>
      </w:r>
      <w:r w:rsidR="003E3431">
        <w:t>single category of storage on this pie chart</w:t>
      </w:r>
      <w:r w:rsidR="004C0DEA">
        <w:t>.</w:t>
      </w:r>
    </w:p>
    <w:p w14:paraId="2D71AC6C" w14:textId="77777777" w:rsidR="001D5E47" w:rsidRDefault="001D5E47" w:rsidP="00F42F6B"/>
    <w:p w14:paraId="74FFD33A" w14:textId="77777777" w:rsidR="004C0DEA" w:rsidRPr="00E66EB9" w:rsidRDefault="004C0DEA" w:rsidP="004C0DEA">
      <w:pPr>
        <w:rPr>
          <w:b/>
          <w:bCs/>
        </w:rPr>
      </w:pPr>
      <w:r w:rsidRPr="00E66EB9">
        <w:rPr>
          <w:b/>
          <w:bCs/>
        </w:rPr>
        <w:lastRenderedPageBreak/>
        <w:t>Long-duration storage implies large energy needs</w:t>
      </w:r>
      <w:r>
        <w:rPr>
          <w:b/>
          <w:bCs/>
        </w:rPr>
        <w:t xml:space="preserve"> and value in sharing storage with other sectors</w:t>
      </w:r>
    </w:p>
    <w:p w14:paraId="5429F86F" w14:textId="77777777" w:rsidR="004C0DEA" w:rsidRDefault="004C0DEA" w:rsidP="00F42F6B"/>
    <w:p w14:paraId="3EFC9DB1" w14:textId="77777777" w:rsidR="0039706E" w:rsidRDefault="004F0F35" w:rsidP="00F42F6B">
      <w:r>
        <w:t xml:space="preserve">The long-duration storage needed for seasonal storage applications may require many </w:t>
      </w:r>
      <w:proofErr w:type="spellStart"/>
      <w:r>
        <w:t>TWh</w:t>
      </w:r>
      <w:proofErr w:type="spellEnd"/>
      <w:r>
        <w:t xml:space="preserve">. </w:t>
      </w:r>
      <w:r>
        <w:t xml:space="preserve">Just as a </w:t>
      </w:r>
      <w:proofErr w:type="spellStart"/>
      <w:r>
        <w:t>peaker</w:t>
      </w:r>
      <w:proofErr w:type="spellEnd"/>
      <w:r>
        <w:t xml:space="preserve"> plant today is idle much of the year, some long-duration storage assets of a decarbonized grid will be used infrequently.  </w:t>
      </w:r>
      <w:r>
        <w:t xml:space="preserve">Thus, the storage cost for such applications will need to be low. </w:t>
      </w:r>
      <w:r w:rsidR="00F42F6B">
        <w:t>We suggest that inclusion of attractive cross-sector storage opportunities (such as shown on the right side of Fig. 1) will be helpful</w:t>
      </w:r>
      <w:r>
        <w:t xml:space="preserve"> in keeping </w:t>
      </w:r>
      <w:r w:rsidR="0039706E">
        <w:t xml:space="preserve">storage </w:t>
      </w:r>
      <w:r>
        <w:t>costs low while</w:t>
      </w:r>
      <w:r w:rsidR="00F42F6B">
        <w:t xml:space="preserve"> </w:t>
      </w:r>
      <w:r>
        <w:t>being prepared for</w:t>
      </w:r>
      <w:r w:rsidR="00F42F6B">
        <w:t xml:space="preserve"> extreme conditions. Today, natural gas is used both for heating and for electricity generation, so the cost of maintaining the natural gas storage and distribution infrastructure is shared by both the power and heating sectors. In a decarbonized world, hydrogen</w:t>
      </w:r>
      <w:r>
        <w:t xml:space="preserve"> (or other fuel)</w:t>
      </w:r>
      <w:r w:rsidR="00F42F6B">
        <w:t xml:space="preserve"> storage and distribution infrastructure may be established to support the transportation, chemical, and heating sectors. The power sector may be able to ensure resource adequacy at lower cost by leveraging such infrastructure rather than creating its own large energy storage that is </w:t>
      </w:r>
      <w:r>
        <w:t>infrequently</w:t>
      </w:r>
      <w:r w:rsidR="00F42F6B">
        <w:t xml:space="preserve"> used. </w:t>
      </w:r>
    </w:p>
    <w:p w14:paraId="68E3101C" w14:textId="77777777" w:rsidR="0039706E" w:rsidRDefault="0039706E" w:rsidP="00F42F6B"/>
    <w:p w14:paraId="3B5D7424" w14:textId="48235E82" w:rsidR="0039706E" w:rsidRDefault="0039706E" w:rsidP="00F42F6B">
      <w:r>
        <w:t xml:space="preserve">Thus, the study of long-duration storage should consider how the different types of storage will compete for different </w:t>
      </w:r>
      <w:r w:rsidR="000F5817">
        <w:t xml:space="preserve">storage </w:t>
      </w:r>
      <w:r>
        <w:t xml:space="preserve">applications as </w:t>
      </w:r>
      <w:r w:rsidR="00492F30">
        <w:t>described</w:t>
      </w:r>
      <w:r>
        <w:t xml:space="preserve"> in Fig</w:t>
      </w:r>
      <w:r w:rsidR="00492F30">
        <w:t>s</w:t>
      </w:r>
      <w:r>
        <w:t xml:space="preserve">. </w:t>
      </w:r>
      <w:r w:rsidR="00492F30">
        <w:t xml:space="preserve">2 and </w:t>
      </w:r>
      <w:r>
        <w:t>3</w:t>
      </w:r>
      <w:r w:rsidR="000F5817">
        <w:t>,</w:t>
      </w:r>
      <w:r>
        <w:t xml:space="preserve"> and should also consider how cross-sector storage approaches may</w:t>
      </w:r>
      <w:r w:rsidR="000F5817">
        <w:t xml:space="preserve"> reduce cost by leveraging infrastructure developed for other sectors.</w:t>
      </w:r>
      <w:r>
        <w:t xml:space="preserve"> </w:t>
      </w:r>
      <w:r>
        <w:t xml:space="preserve">Policy development should be technology agnostic so that the markets will be able to choose the lowest cost path to keeping the lights on even </w:t>
      </w:r>
      <w:r w:rsidR="000F5817">
        <w:t>in the most challenging times</w:t>
      </w:r>
      <w:r>
        <w:t>.</w:t>
      </w:r>
    </w:p>
    <w:p w14:paraId="5843DA95" w14:textId="3E25637D" w:rsidR="00352872" w:rsidRDefault="00352872" w:rsidP="00F42F6B"/>
    <w:p w14:paraId="3B6698B0" w14:textId="69FC6F74" w:rsidR="00352872" w:rsidRDefault="00352872" w:rsidP="00F42F6B"/>
    <w:p w14:paraId="144C94FA" w14:textId="58FBFA82" w:rsidR="00352872" w:rsidRDefault="00352872" w:rsidP="00F42F6B"/>
    <w:p w14:paraId="55C63633" w14:textId="301A2EBA" w:rsidR="00352872" w:rsidRDefault="00352872" w:rsidP="00F42F6B"/>
    <w:p w14:paraId="777F5422" w14:textId="77777777" w:rsidR="00352872" w:rsidRDefault="00352872" w:rsidP="00F42F6B"/>
    <w:p w14:paraId="5C16F7D9" w14:textId="782F33BE" w:rsidR="00352872" w:rsidRDefault="00352872" w:rsidP="00F42F6B"/>
    <w:p w14:paraId="45E10027" w14:textId="22CF9271" w:rsidR="00352872" w:rsidRDefault="00352872" w:rsidP="00F42F6B">
      <w:r>
        <w:t>Data sources:</w:t>
      </w:r>
    </w:p>
    <w:p w14:paraId="750444E9" w14:textId="77777777" w:rsidR="00352872" w:rsidRPr="00352872" w:rsidRDefault="00352872" w:rsidP="00352872">
      <w:pPr>
        <w:rPr>
          <w:rFonts w:ascii="Arial" w:eastAsia="Times New Roman" w:hAnsi="Arial" w:cs="Arial"/>
          <w:sz w:val="20"/>
          <w:szCs w:val="20"/>
        </w:rPr>
      </w:pPr>
      <w:r w:rsidRPr="00352872">
        <w:rPr>
          <w:rFonts w:ascii="Arial" w:eastAsia="Times New Roman" w:hAnsi="Arial" w:cs="Arial"/>
          <w:sz w:val="20"/>
          <w:szCs w:val="20"/>
        </w:rPr>
        <w:t>https://www.eia.gov/dnav/pet/PET_STOC_WSTK_DCU_NUS_W.htm</w:t>
      </w:r>
    </w:p>
    <w:p w14:paraId="6CBE4A16" w14:textId="77777777" w:rsidR="00492F30" w:rsidRPr="00492F30" w:rsidRDefault="00492F30" w:rsidP="00492F30">
      <w:pPr>
        <w:rPr>
          <w:rFonts w:ascii="Arial" w:eastAsia="Times New Roman" w:hAnsi="Arial" w:cs="Arial"/>
          <w:sz w:val="20"/>
          <w:szCs w:val="20"/>
        </w:rPr>
      </w:pPr>
      <w:r w:rsidRPr="00492F30">
        <w:rPr>
          <w:rFonts w:ascii="Arial" w:eastAsia="Times New Roman" w:hAnsi="Arial" w:cs="Arial"/>
          <w:sz w:val="20"/>
          <w:szCs w:val="20"/>
        </w:rPr>
        <w:t>https://ir.eia.gov/ngs/ngs.html</w:t>
      </w:r>
    </w:p>
    <w:p w14:paraId="1031CA6D" w14:textId="6A8F4B21" w:rsidR="00352872" w:rsidRDefault="00492F30" w:rsidP="00F42F6B">
      <w:r w:rsidRPr="00492F30">
        <w:t>https://www.eia.gov/electricity/data/browser/</w:t>
      </w:r>
    </w:p>
    <w:sectPr w:rsidR="00352872" w:rsidSect="00D50A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C50DC9" w14:textId="77777777" w:rsidR="007176C4" w:rsidRDefault="007176C4" w:rsidP="00903613">
      <w:r>
        <w:separator/>
      </w:r>
    </w:p>
  </w:endnote>
  <w:endnote w:type="continuationSeparator" w:id="0">
    <w:p w14:paraId="16016C95" w14:textId="77777777" w:rsidR="007176C4" w:rsidRDefault="007176C4" w:rsidP="00903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42218" w14:textId="77777777" w:rsidR="007176C4" w:rsidRDefault="007176C4" w:rsidP="00903613">
      <w:r>
        <w:separator/>
      </w:r>
    </w:p>
  </w:footnote>
  <w:footnote w:type="continuationSeparator" w:id="0">
    <w:p w14:paraId="30587034" w14:textId="77777777" w:rsidR="007176C4" w:rsidRDefault="007176C4" w:rsidP="009036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26460"/>
    <w:multiLevelType w:val="hybridMultilevel"/>
    <w:tmpl w:val="4FAE59A0"/>
    <w:lvl w:ilvl="0" w:tplc="BEC076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CD680B"/>
    <w:multiLevelType w:val="hybridMultilevel"/>
    <w:tmpl w:val="7A0C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35D"/>
    <w:rsid w:val="00013BB7"/>
    <w:rsid w:val="00031B19"/>
    <w:rsid w:val="00037ADB"/>
    <w:rsid w:val="00072C83"/>
    <w:rsid w:val="00080084"/>
    <w:rsid w:val="0008022A"/>
    <w:rsid w:val="000C3655"/>
    <w:rsid w:val="000D4E9C"/>
    <w:rsid w:val="000E3ED7"/>
    <w:rsid w:val="000E6C45"/>
    <w:rsid w:val="000F5817"/>
    <w:rsid w:val="001001D1"/>
    <w:rsid w:val="0011035B"/>
    <w:rsid w:val="00117107"/>
    <w:rsid w:val="00172D5F"/>
    <w:rsid w:val="00187533"/>
    <w:rsid w:val="001B1FC9"/>
    <w:rsid w:val="001D370F"/>
    <w:rsid w:val="001D5E47"/>
    <w:rsid w:val="001D7E86"/>
    <w:rsid w:val="001F70E3"/>
    <w:rsid w:val="00206495"/>
    <w:rsid w:val="0021014A"/>
    <w:rsid w:val="00220D8D"/>
    <w:rsid w:val="00221C79"/>
    <w:rsid w:val="00224839"/>
    <w:rsid w:val="00226FFA"/>
    <w:rsid w:val="00236E49"/>
    <w:rsid w:val="0024239A"/>
    <w:rsid w:val="0025307C"/>
    <w:rsid w:val="00286123"/>
    <w:rsid w:val="002A26FB"/>
    <w:rsid w:val="002C610D"/>
    <w:rsid w:val="002E6792"/>
    <w:rsid w:val="002F39F8"/>
    <w:rsid w:val="002F4B92"/>
    <w:rsid w:val="003045C3"/>
    <w:rsid w:val="00304A51"/>
    <w:rsid w:val="0030689E"/>
    <w:rsid w:val="00316DD9"/>
    <w:rsid w:val="003223C7"/>
    <w:rsid w:val="00327198"/>
    <w:rsid w:val="00330418"/>
    <w:rsid w:val="00346DFE"/>
    <w:rsid w:val="00352872"/>
    <w:rsid w:val="0039706E"/>
    <w:rsid w:val="003D33EE"/>
    <w:rsid w:val="003E0598"/>
    <w:rsid w:val="003E0827"/>
    <w:rsid w:val="003E3431"/>
    <w:rsid w:val="003E70C8"/>
    <w:rsid w:val="003F7429"/>
    <w:rsid w:val="0040610A"/>
    <w:rsid w:val="00414C02"/>
    <w:rsid w:val="00421601"/>
    <w:rsid w:val="00483506"/>
    <w:rsid w:val="004859EB"/>
    <w:rsid w:val="004921F7"/>
    <w:rsid w:val="00492F30"/>
    <w:rsid w:val="004C0DEA"/>
    <w:rsid w:val="004C6510"/>
    <w:rsid w:val="004D1EE9"/>
    <w:rsid w:val="004D3EEA"/>
    <w:rsid w:val="004E4AA8"/>
    <w:rsid w:val="004E5480"/>
    <w:rsid w:val="004F0F35"/>
    <w:rsid w:val="004F77A0"/>
    <w:rsid w:val="00501684"/>
    <w:rsid w:val="005115E8"/>
    <w:rsid w:val="0055668B"/>
    <w:rsid w:val="0056261D"/>
    <w:rsid w:val="005629D5"/>
    <w:rsid w:val="00562C05"/>
    <w:rsid w:val="00581E43"/>
    <w:rsid w:val="00595A45"/>
    <w:rsid w:val="005E04AA"/>
    <w:rsid w:val="005F57A7"/>
    <w:rsid w:val="005F615B"/>
    <w:rsid w:val="00626187"/>
    <w:rsid w:val="006504DA"/>
    <w:rsid w:val="0065558F"/>
    <w:rsid w:val="00660A2C"/>
    <w:rsid w:val="00675997"/>
    <w:rsid w:val="006909A7"/>
    <w:rsid w:val="00691047"/>
    <w:rsid w:val="0069132E"/>
    <w:rsid w:val="006C7412"/>
    <w:rsid w:val="006F628E"/>
    <w:rsid w:val="007176C4"/>
    <w:rsid w:val="007207B3"/>
    <w:rsid w:val="00724812"/>
    <w:rsid w:val="00737AB0"/>
    <w:rsid w:val="00743D21"/>
    <w:rsid w:val="00751CDF"/>
    <w:rsid w:val="007556E5"/>
    <w:rsid w:val="00757411"/>
    <w:rsid w:val="00761908"/>
    <w:rsid w:val="007871F9"/>
    <w:rsid w:val="007B6FF3"/>
    <w:rsid w:val="007D5DCF"/>
    <w:rsid w:val="007E7FED"/>
    <w:rsid w:val="007F5909"/>
    <w:rsid w:val="00800C06"/>
    <w:rsid w:val="008104A5"/>
    <w:rsid w:val="00820D6A"/>
    <w:rsid w:val="008448DA"/>
    <w:rsid w:val="0085232A"/>
    <w:rsid w:val="0089035D"/>
    <w:rsid w:val="008A5AE9"/>
    <w:rsid w:val="008A7576"/>
    <w:rsid w:val="008C27B3"/>
    <w:rsid w:val="008C4BE1"/>
    <w:rsid w:val="008D399F"/>
    <w:rsid w:val="00903613"/>
    <w:rsid w:val="00920833"/>
    <w:rsid w:val="00922DB2"/>
    <w:rsid w:val="00932E26"/>
    <w:rsid w:val="00954430"/>
    <w:rsid w:val="00983614"/>
    <w:rsid w:val="00983B73"/>
    <w:rsid w:val="009860E1"/>
    <w:rsid w:val="009969D8"/>
    <w:rsid w:val="009C7A69"/>
    <w:rsid w:val="00A06FA3"/>
    <w:rsid w:val="00A20B6A"/>
    <w:rsid w:val="00A32DD3"/>
    <w:rsid w:val="00A32F24"/>
    <w:rsid w:val="00A3335E"/>
    <w:rsid w:val="00A43322"/>
    <w:rsid w:val="00A43C61"/>
    <w:rsid w:val="00A714E8"/>
    <w:rsid w:val="00A7716B"/>
    <w:rsid w:val="00A81598"/>
    <w:rsid w:val="00AA18A2"/>
    <w:rsid w:val="00AB1BC1"/>
    <w:rsid w:val="00AB2DD8"/>
    <w:rsid w:val="00AE5EE0"/>
    <w:rsid w:val="00B16ED6"/>
    <w:rsid w:val="00B228DC"/>
    <w:rsid w:val="00B9177C"/>
    <w:rsid w:val="00BA0E95"/>
    <w:rsid w:val="00BA7556"/>
    <w:rsid w:val="00BB1425"/>
    <w:rsid w:val="00BB5E07"/>
    <w:rsid w:val="00BB6622"/>
    <w:rsid w:val="00BD1F42"/>
    <w:rsid w:val="00BE193F"/>
    <w:rsid w:val="00C03432"/>
    <w:rsid w:val="00C1464F"/>
    <w:rsid w:val="00C34D05"/>
    <w:rsid w:val="00C358CE"/>
    <w:rsid w:val="00C5364C"/>
    <w:rsid w:val="00C631D6"/>
    <w:rsid w:val="00C637D8"/>
    <w:rsid w:val="00C671D1"/>
    <w:rsid w:val="00C704F5"/>
    <w:rsid w:val="00C91BED"/>
    <w:rsid w:val="00CB1DB7"/>
    <w:rsid w:val="00CB29D3"/>
    <w:rsid w:val="00CC4F35"/>
    <w:rsid w:val="00CC77E5"/>
    <w:rsid w:val="00CC7F55"/>
    <w:rsid w:val="00CD0005"/>
    <w:rsid w:val="00CD0E96"/>
    <w:rsid w:val="00CD5921"/>
    <w:rsid w:val="00D04F57"/>
    <w:rsid w:val="00D14D7A"/>
    <w:rsid w:val="00D15F9B"/>
    <w:rsid w:val="00D50AC4"/>
    <w:rsid w:val="00D6577C"/>
    <w:rsid w:val="00D66980"/>
    <w:rsid w:val="00D8229C"/>
    <w:rsid w:val="00D9604F"/>
    <w:rsid w:val="00D96D7A"/>
    <w:rsid w:val="00DA59CE"/>
    <w:rsid w:val="00DB2EE3"/>
    <w:rsid w:val="00DC5EDD"/>
    <w:rsid w:val="00E0146A"/>
    <w:rsid w:val="00E034F4"/>
    <w:rsid w:val="00E05435"/>
    <w:rsid w:val="00E0764E"/>
    <w:rsid w:val="00E14079"/>
    <w:rsid w:val="00E16FBF"/>
    <w:rsid w:val="00E3500D"/>
    <w:rsid w:val="00E5670F"/>
    <w:rsid w:val="00E66C22"/>
    <w:rsid w:val="00E66EB9"/>
    <w:rsid w:val="00E91E90"/>
    <w:rsid w:val="00EB1F3B"/>
    <w:rsid w:val="00F036A3"/>
    <w:rsid w:val="00F11476"/>
    <w:rsid w:val="00F1299B"/>
    <w:rsid w:val="00F251E8"/>
    <w:rsid w:val="00F31298"/>
    <w:rsid w:val="00F42832"/>
    <w:rsid w:val="00F42F6B"/>
    <w:rsid w:val="00F71922"/>
    <w:rsid w:val="00F74E42"/>
    <w:rsid w:val="00F93470"/>
    <w:rsid w:val="00F9792B"/>
    <w:rsid w:val="00FC1994"/>
    <w:rsid w:val="00FE6FCB"/>
    <w:rsid w:val="00FF1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BFE829"/>
  <w14:defaultImageDpi w14:val="32767"/>
  <w15:chartTrackingRefBased/>
  <w15:docId w15:val="{612DB571-1E4C-D842-A401-61AE6E2A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B73"/>
    <w:rPr>
      <w:color w:val="0563C1" w:themeColor="hyperlink"/>
      <w:u w:val="single"/>
    </w:rPr>
  </w:style>
  <w:style w:type="character" w:customStyle="1" w:styleId="UnresolvedMention1">
    <w:name w:val="Unresolved Mention1"/>
    <w:basedOn w:val="DefaultParagraphFont"/>
    <w:uiPriority w:val="99"/>
    <w:rsid w:val="00983B73"/>
    <w:rPr>
      <w:color w:val="605E5C"/>
      <w:shd w:val="clear" w:color="auto" w:fill="E1DFDD"/>
    </w:rPr>
  </w:style>
  <w:style w:type="paragraph" w:styleId="BalloonText">
    <w:name w:val="Balloon Text"/>
    <w:basedOn w:val="Normal"/>
    <w:link w:val="BalloonTextChar"/>
    <w:uiPriority w:val="99"/>
    <w:semiHidden/>
    <w:unhideWhenUsed/>
    <w:rsid w:val="007207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07B3"/>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903613"/>
    <w:rPr>
      <w:sz w:val="20"/>
      <w:szCs w:val="20"/>
    </w:rPr>
  </w:style>
  <w:style w:type="character" w:customStyle="1" w:styleId="FootnoteTextChar">
    <w:name w:val="Footnote Text Char"/>
    <w:basedOn w:val="DefaultParagraphFont"/>
    <w:link w:val="FootnoteText"/>
    <w:uiPriority w:val="99"/>
    <w:semiHidden/>
    <w:rsid w:val="00903613"/>
    <w:rPr>
      <w:sz w:val="20"/>
      <w:szCs w:val="20"/>
    </w:rPr>
  </w:style>
  <w:style w:type="character" w:styleId="FootnoteReference">
    <w:name w:val="footnote reference"/>
    <w:basedOn w:val="DefaultParagraphFont"/>
    <w:uiPriority w:val="99"/>
    <w:semiHidden/>
    <w:unhideWhenUsed/>
    <w:rsid w:val="00903613"/>
    <w:rPr>
      <w:vertAlign w:val="superscript"/>
    </w:rPr>
  </w:style>
  <w:style w:type="character" w:styleId="CommentReference">
    <w:name w:val="annotation reference"/>
    <w:basedOn w:val="DefaultParagraphFont"/>
    <w:uiPriority w:val="99"/>
    <w:semiHidden/>
    <w:unhideWhenUsed/>
    <w:rsid w:val="00304A51"/>
    <w:rPr>
      <w:sz w:val="16"/>
      <w:szCs w:val="16"/>
    </w:rPr>
  </w:style>
  <w:style w:type="paragraph" w:styleId="CommentText">
    <w:name w:val="annotation text"/>
    <w:basedOn w:val="Normal"/>
    <w:link w:val="CommentTextChar"/>
    <w:uiPriority w:val="99"/>
    <w:semiHidden/>
    <w:unhideWhenUsed/>
    <w:rsid w:val="00304A51"/>
    <w:rPr>
      <w:sz w:val="20"/>
      <w:szCs w:val="20"/>
    </w:rPr>
  </w:style>
  <w:style w:type="character" w:customStyle="1" w:styleId="CommentTextChar">
    <w:name w:val="Comment Text Char"/>
    <w:basedOn w:val="DefaultParagraphFont"/>
    <w:link w:val="CommentText"/>
    <w:uiPriority w:val="99"/>
    <w:semiHidden/>
    <w:rsid w:val="00304A51"/>
    <w:rPr>
      <w:sz w:val="20"/>
      <w:szCs w:val="20"/>
    </w:rPr>
  </w:style>
  <w:style w:type="paragraph" w:styleId="CommentSubject">
    <w:name w:val="annotation subject"/>
    <w:basedOn w:val="CommentText"/>
    <w:next w:val="CommentText"/>
    <w:link w:val="CommentSubjectChar"/>
    <w:uiPriority w:val="99"/>
    <w:semiHidden/>
    <w:unhideWhenUsed/>
    <w:rsid w:val="00304A51"/>
    <w:rPr>
      <w:b/>
      <w:bCs/>
    </w:rPr>
  </w:style>
  <w:style w:type="character" w:customStyle="1" w:styleId="CommentSubjectChar">
    <w:name w:val="Comment Subject Char"/>
    <w:basedOn w:val="CommentTextChar"/>
    <w:link w:val="CommentSubject"/>
    <w:uiPriority w:val="99"/>
    <w:semiHidden/>
    <w:rsid w:val="00304A51"/>
    <w:rPr>
      <w:b/>
      <w:bCs/>
      <w:sz w:val="20"/>
      <w:szCs w:val="20"/>
    </w:rPr>
  </w:style>
  <w:style w:type="character" w:styleId="PlaceholderText">
    <w:name w:val="Placeholder Text"/>
    <w:basedOn w:val="DefaultParagraphFont"/>
    <w:uiPriority w:val="99"/>
    <w:semiHidden/>
    <w:rsid w:val="00D6577C"/>
    <w:rPr>
      <w:color w:val="808080"/>
    </w:rPr>
  </w:style>
  <w:style w:type="paragraph" w:styleId="ListParagraph">
    <w:name w:val="List Paragraph"/>
    <w:basedOn w:val="Normal"/>
    <w:uiPriority w:val="34"/>
    <w:qFormat/>
    <w:rsid w:val="00D9604F"/>
    <w:pPr>
      <w:ind w:left="720"/>
      <w:contextualSpacing/>
    </w:pPr>
  </w:style>
  <w:style w:type="character" w:styleId="FollowedHyperlink">
    <w:name w:val="FollowedHyperlink"/>
    <w:basedOn w:val="DefaultParagraphFont"/>
    <w:uiPriority w:val="99"/>
    <w:semiHidden/>
    <w:unhideWhenUsed/>
    <w:rsid w:val="00A32F24"/>
    <w:rPr>
      <w:color w:val="954F72" w:themeColor="followedHyperlink"/>
      <w:u w:val="single"/>
    </w:rPr>
  </w:style>
  <w:style w:type="table" w:styleId="TableGrid">
    <w:name w:val="Table Grid"/>
    <w:basedOn w:val="TableNormal"/>
    <w:uiPriority w:val="39"/>
    <w:rsid w:val="00306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512371">
      <w:bodyDiv w:val="1"/>
      <w:marLeft w:val="0"/>
      <w:marRight w:val="0"/>
      <w:marTop w:val="0"/>
      <w:marBottom w:val="0"/>
      <w:divBdr>
        <w:top w:val="none" w:sz="0" w:space="0" w:color="auto"/>
        <w:left w:val="none" w:sz="0" w:space="0" w:color="auto"/>
        <w:bottom w:val="none" w:sz="0" w:space="0" w:color="auto"/>
        <w:right w:val="none" w:sz="0" w:space="0" w:color="auto"/>
      </w:divBdr>
    </w:div>
    <w:div w:id="132346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2017</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Sarah Kurtz</cp:lastModifiedBy>
  <cp:revision>6</cp:revision>
  <dcterms:created xsi:type="dcterms:W3CDTF">2021-02-17T08:27:00Z</dcterms:created>
  <dcterms:modified xsi:type="dcterms:W3CDTF">2021-02-17T09:06:00Z</dcterms:modified>
</cp:coreProperties>
</file>