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41B04" w14:textId="43D9A729" w:rsidR="00876768" w:rsidRDefault="00261833" w:rsidP="00876768">
      <w:pPr>
        <w:pStyle w:val="NormalWeb"/>
        <w:jc w:val="center"/>
        <w:rPr>
          <w:rFonts w:ascii="TimesNewRomanPS" w:hAnsi="TimesNewRomanPS"/>
          <w:b/>
          <w:bCs/>
        </w:rPr>
      </w:pPr>
      <w:r>
        <w:rPr>
          <w:rFonts w:ascii="TimesNewRomanPS" w:hAnsi="TimesNewRomanPS"/>
          <w:b/>
          <w:bCs/>
        </w:rPr>
        <w:t xml:space="preserve">PROGRESS REPORT for EPC-19-060 </w:t>
      </w:r>
    </w:p>
    <w:p w14:paraId="0FEEBA98" w14:textId="02317C05" w:rsidR="006031E5" w:rsidRDefault="006031E5" w:rsidP="00876768">
      <w:pPr>
        <w:pStyle w:val="NormalWeb"/>
        <w:jc w:val="center"/>
        <w:rPr>
          <w:rFonts w:ascii="TimesNewRomanPS" w:hAnsi="TimesNewRomanPS"/>
          <w:b/>
          <w:bCs/>
        </w:rPr>
      </w:pPr>
      <w:r>
        <w:rPr>
          <w:rFonts w:ascii="TimesNewRomanPS" w:hAnsi="TimesNewRomanPS"/>
          <w:b/>
          <w:bCs/>
        </w:rPr>
        <w:t>First Public Workshop Summary</w:t>
      </w:r>
    </w:p>
    <w:p w14:paraId="690DDBD8" w14:textId="604FEFBA" w:rsidR="00261833" w:rsidRDefault="006031E5" w:rsidP="00876768">
      <w:pPr>
        <w:pStyle w:val="NormalWeb"/>
        <w:jc w:val="center"/>
      </w:pPr>
      <w:r>
        <w:rPr>
          <w:rFonts w:ascii="TimesNewRomanPS" w:hAnsi="TimesNewRomanPS"/>
          <w:b/>
          <w:bCs/>
        </w:rPr>
        <w:t>Workshop date December 3</w:t>
      </w:r>
      <w:r w:rsidR="00261833">
        <w:rPr>
          <w:rFonts w:ascii="TimesNewRomanPS" w:hAnsi="TimesNewRomanPS"/>
          <w:b/>
          <w:bCs/>
        </w:rPr>
        <w:t xml:space="preserve">, </w:t>
      </w:r>
      <w:r w:rsidR="002354E0">
        <w:rPr>
          <w:rFonts w:ascii="TimesNewRomanPS" w:hAnsi="TimesNewRomanPS"/>
          <w:b/>
          <w:bCs/>
        </w:rPr>
        <w:t>2020</w:t>
      </w:r>
    </w:p>
    <w:p w14:paraId="0F5F54D8" w14:textId="13C0CCEB" w:rsidR="00876768" w:rsidRDefault="00261833" w:rsidP="00876768">
      <w:pPr>
        <w:pStyle w:val="NormalWeb"/>
        <w:jc w:val="center"/>
        <w:rPr>
          <w:rFonts w:ascii="TimesNewRomanPSMT" w:hAnsi="TimesNewRomanPSMT"/>
        </w:rPr>
      </w:pPr>
      <w:r>
        <w:rPr>
          <w:rFonts w:ascii="TimesNewRomanPSMT" w:hAnsi="TimesNewRomanPSMT"/>
        </w:rPr>
        <w:t>Recipient Project Manager:</w:t>
      </w:r>
      <w:r w:rsidR="00876768">
        <w:rPr>
          <w:rFonts w:ascii="TimesNewRomanPSMT" w:hAnsi="TimesNewRomanPSMT"/>
        </w:rPr>
        <w:t xml:space="preserve"> Sarah Kurtz</w:t>
      </w:r>
    </w:p>
    <w:p w14:paraId="53B7DC10" w14:textId="773EF18D" w:rsidR="00261833" w:rsidRDefault="00261833" w:rsidP="00876768">
      <w:pPr>
        <w:pStyle w:val="NormalWeb"/>
        <w:jc w:val="center"/>
      </w:pPr>
      <w:r>
        <w:rPr>
          <w:rFonts w:ascii="TimesNewRomanPSMT" w:hAnsi="TimesNewRomanPSMT"/>
        </w:rPr>
        <w:t>Commission Agreement Manager:</w:t>
      </w:r>
      <w:r w:rsidR="00876768">
        <w:rPr>
          <w:rFonts w:ascii="TimesNewRomanPSMT" w:hAnsi="TimesNewRomanPSMT"/>
        </w:rPr>
        <w:t xml:space="preserve"> Jeffrey Sunquist</w:t>
      </w:r>
    </w:p>
    <w:p w14:paraId="4F822F8C" w14:textId="11EC0F19" w:rsidR="00261833" w:rsidRDefault="004F6AC2" w:rsidP="00261833">
      <w:pPr>
        <w:pStyle w:val="NormalWeb"/>
      </w:pPr>
      <w:r>
        <w:rPr>
          <w:rFonts w:ascii="TimesNewRomanPS" w:hAnsi="TimesNewRomanPS"/>
          <w:b/>
          <w:bCs/>
        </w:rPr>
        <w:t>Staff Workshop for the Initial Public Workshop for Comments on Long Duration Energy Storage Scenarios</w:t>
      </w:r>
    </w:p>
    <w:p w14:paraId="69BD8447" w14:textId="3A6CCE8B" w:rsidR="004F6AC2" w:rsidRDefault="004F6AC2" w:rsidP="004F6AC2">
      <w:pPr>
        <w:pStyle w:val="NormalWeb"/>
        <w:rPr>
          <w:rFonts w:ascii="TimesNewRomanPS" w:hAnsi="TimesNewRomanPS"/>
        </w:rPr>
      </w:pPr>
      <w:r>
        <w:rPr>
          <w:rFonts w:ascii="TimesNewRomanPS" w:hAnsi="TimesNewRomanPS"/>
        </w:rPr>
        <w:t xml:space="preserve">The workshop was held via Zoom on Thursday, Dec. 3, 2020 at 1 pm, as advertised at </w:t>
      </w:r>
      <w:hyperlink r:id="rId7" w:history="1">
        <w:r w:rsidRPr="00AE2C65">
          <w:rPr>
            <w:rStyle w:val="Hyperlink"/>
            <w:rFonts w:ascii="TimesNewRomanPS" w:hAnsi="TimesNewRomanPS"/>
          </w:rPr>
          <w:t>https://www.energy.ca.gov/event/workshop/2020-12/staff-workshop-initial-public-workshop-comments-long-duration-energy-storage</w:t>
        </w:r>
      </w:hyperlink>
      <w:r>
        <w:rPr>
          <w:rFonts w:ascii="TimesNewRomanPS" w:hAnsi="TimesNewRomanPS"/>
        </w:rPr>
        <w:t>.</w:t>
      </w:r>
      <w:r w:rsidR="008E42F9">
        <w:rPr>
          <w:rFonts w:ascii="TimesNewRomanPS" w:hAnsi="TimesNewRomanPS"/>
        </w:rPr>
        <w:t xml:space="preserve"> The web page includes a link to the recording.</w:t>
      </w:r>
    </w:p>
    <w:p w14:paraId="6CF2B49D" w14:textId="080B50AF" w:rsidR="004F6AC2" w:rsidRPr="009E4E90" w:rsidRDefault="004F6AC2" w:rsidP="004F6AC2">
      <w:pPr>
        <w:pStyle w:val="NormalWeb"/>
        <w:rPr>
          <w:rFonts w:ascii="TimesNewRomanPS" w:hAnsi="TimesNewRomanPS"/>
          <w:b/>
          <w:bCs/>
        </w:rPr>
      </w:pPr>
      <w:r w:rsidRPr="009E4E90">
        <w:rPr>
          <w:rFonts w:ascii="TimesNewRomanPS" w:hAnsi="TimesNewRomanPS"/>
          <w:b/>
          <w:bCs/>
        </w:rPr>
        <w:t>Agenda:</w:t>
      </w:r>
    </w:p>
    <w:p w14:paraId="3522FC00" w14:textId="3BB7B892" w:rsidR="004F6AC2" w:rsidRDefault="00E979B0" w:rsidP="004F6AC2">
      <w:pPr>
        <w:pStyle w:val="NormalWeb"/>
        <w:rPr>
          <w:rFonts w:ascii="TimesNewRomanPS" w:hAnsi="TimesNewRomanPS"/>
        </w:rPr>
      </w:pPr>
      <w:r>
        <w:rPr>
          <w:rFonts w:ascii="TimesNewRomanPS" w:hAnsi="TimesNewRomanPS"/>
        </w:rPr>
        <w:t xml:space="preserve">Welcome and </w:t>
      </w:r>
      <w:r w:rsidR="004F6AC2">
        <w:rPr>
          <w:rFonts w:ascii="TimesNewRomanPS" w:hAnsi="TimesNewRomanPS"/>
        </w:rPr>
        <w:t>Introduction: Jeffrey Sunquist</w:t>
      </w:r>
    </w:p>
    <w:p w14:paraId="1818CD81" w14:textId="5C1AD294" w:rsidR="004F6AC2" w:rsidRDefault="004F6AC2" w:rsidP="004F6AC2">
      <w:pPr>
        <w:pStyle w:val="NormalWeb"/>
        <w:rPr>
          <w:rFonts w:ascii="TimesNewRomanPS" w:hAnsi="TimesNewRomanPS"/>
        </w:rPr>
      </w:pPr>
      <w:r>
        <w:rPr>
          <w:rFonts w:ascii="TimesNewRomanPS" w:hAnsi="TimesNewRomanPS"/>
        </w:rPr>
        <w:t>University of California Merced presentation:  Sarah Kurtz (See attachment)</w:t>
      </w:r>
    </w:p>
    <w:p w14:paraId="2D0171FD" w14:textId="617E4E0E" w:rsidR="004F6AC2" w:rsidRDefault="00E979B0" w:rsidP="004F6AC2">
      <w:pPr>
        <w:pStyle w:val="NormalWeb"/>
        <w:rPr>
          <w:rFonts w:ascii="TimesNewRomanPS" w:hAnsi="TimesNewRomanPS"/>
        </w:rPr>
      </w:pPr>
      <w:r>
        <w:rPr>
          <w:rFonts w:ascii="TimesNewRomanPS" w:hAnsi="TimesNewRomanPS"/>
        </w:rPr>
        <w:t>Energy and Environmental Economics, Inc.</w:t>
      </w:r>
      <w:r w:rsidR="004F6AC2">
        <w:rPr>
          <w:rFonts w:ascii="TimesNewRomanPS" w:hAnsi="TimesNewRomanPS"/>
        </w:rPr>
        <w:t xml:space="preserve"> presentation: Roderick Go and team members</w:t>
      </w:r>
    </w:p>
    <w:p w14:paraId="215C5760" w14:textId="6897AFC5" w:rsidR="004F6AC2" w:rsidRDefault="00E979B0" w:rsidP="004F6AC2">
      <w:pPr>
        <w:pStyle w:val="NormalWeb"/>
        <w:rPr>
          <w:rFonts w:ascii="TimesNewRomanPS" w:hAnsi="TimesNewRomanPS"/>
        </w:rPr>
      </w:pPr>
      <w:r>
        <w:rPr>
          <w:rFonts w:ascii="TimesNewRomanPS" w:hAnsi="TimesNewRomanPS"/>
        </w:rPr>
        <w:t xml:space="preserve">General comments and </w:t>
      </w:r>
      <w:r w:rsidR="004F6AC2">
        <w:rPr>
          <w:rFonts w:ascii="TimesNewRomanPS" w:hAnsi="TimesNewRomanPS"/>
        </w:rPr>
        <w:t>Q&amp;A: All</w:t>
      </w:r>
    </w:p>
    <w:p w14:paraId="1829A050" w14:textId="647E3612" w:rsidR="00261833" w:rsidRDefault="004F6AC2" w:rsidP="00261833">
      <w:pPr>
        <w:pStyle w:val="NormalWeb"/>
        <w:rPr>
          <w:rFonts w:ascii="TimesNewRomanPS" w:hAnsi="TimesNewRomanPS"/>
          <w:b/>
          <w:bCs/>
        </w:rPr>
      </w:pPr>
      <w:r>
        <w:rPr>
          <w:rFonts w:ascii="TimesNewRomanPS" w:hAnsi="TimesNewRomanPS"/>
          <w:b/>
          <w:bCs/>
        </w:rPr>
        <w:t xml:space="preserve">Summary of questions </w:t>
      </w:r>
      <w:r w:rsidR="008E42F9">
        <w:rPr>
          <w:rFonts w:ascii="TimesNewRomanPS" w:hAnsi="TimesNewRomanPS"/>
          <w:b/>
          <w:bCs/>
        </w:rPr>
        <w:t>to UC Merced presentation and brief statements of answers</w:t>
      </w:r>
    </w:p>
    <w:p w14:paraId="18531EB9" w14:textId="10B0246B" w:rsidR="00785D2C" w:rsidRDefault="00E979B0" w:rsidP="00261833">
      <w:pPr>
        <w:pStyle w:val="NormalWeb"/>
        <w:rPr>
          <w:rFonts w:ascii="TimesNewRomanPS" w:hAnsi="TimesNewRomanPS"/>
          <w:i/>
          <w:iCs/>
        </w:rPr>
      </w:pPr>
      <w:r>
        <w:rPr>
          <w:rFonts w:ascii="TimesNewRomanPS" w:hAnsi="TimesNewRomanPS"/>
          <w:i/>
          <w:iCs/>
        </w:rPr>
        <w:t>Q: Does the solicitation include long-term seasonal storage from summer to winter?</w:t>
      </w:r>
    </w:p>
    <w:p w14:paraId="5071C6D5" w14:textId="64100666" w:rsidR="003A47E6" w:rsidRDefault="003A47E6" w:rsidP="00261833">
      <w:pPr>
        <w:pStyle w:val="NormalWeb"/>
        <w:rPr>
          <w:rFonts w:ascii="TimesNewRomanPS" w:hAnsi="TimesNewRomanPS"/>
          <w:i/>
          <w:iCs/>
        </w:rPr>
      </w:pPr>
      <w:r>
        <w:rPr>
          <w:rFonts w:ascii="TimesNewRomanPS" w:hAnsi="TimesNewRomanPS"/>
          <w:i/>
          <w:iCs/>
        </w:rPr>
        <w:t>A: The solicitation is not overly specific about long-duration storage. The broadest definition is any storage longer than 4 hours.</w:t>
      </w:r>
      <w:r w:rsidR="008E42F9">
        <w:rPr>
          <w:rFonts w:ascii="TimesNewRomanPS" w:hAnsi="TimesNewRomanPS"/>
          <w:i/>
          <w:iCs/>
        </w:rPr>
        <w:t xml:space="preserve"> (See longer answer below)</w:t>
      </w:r>
    </w:p>
    <w:p w14:paraId="38979640" w14:textId="5396C29E" w:rsidR="003A47E6" w:rsidRDefault="003A47E6" w:rsidP="00261833">
      <w:pPr>
        <w:pStyle w:val="NormalWeb"/>
        <w:rPr>
          <w:rFonts w:ascii="TimesNewRomanPS" w:hAnsi="TimesNewRomanPS"/>
          <w:i/>
          <w:iCs/>
        </w:rPr>
      </w:pPr>
      <w:r>
        <w:rPr>
          <w:rFonts w:ascii="TimesNewRomanPS" w:hAnsi="TimesNewRomanPS"/>
          <w:i/>
          <w:iCs/>
        </w:rPr>
        <w:t xml:space="preserve">Q: The energy futures initiative led by former Secretary of Energy Moniz found that California would need storage that can last two weeks or months for true reliability. </w:t>
      </w:r>
      <w:r w:rsidR="003F39C7">
        <w:rPr>
          <w:rFonts w:ascii="TimesNewRomanPS" w:hAnsi="TimesNewRomanPS"/>
          <w:i/>
          <w:iCs/>
        </w:rPr>
        <w:t>Why is long duration storage being defined as 100 hours only? What about multi-week periods of heavy wildfire smoke?</w:t>
      </w:r>
    </w:p>
    <w:p w14:paraId="59B50BA7" w14:textId="33540009" w:rsidR="003F39C7" w:rsidRDefault="003F39C7" w:rsidP="00261833">
      <w:pPr>
        <w:pStyle w:val="NormalWeb"/>
        <w:rPr>
          <w:rFonts w:ascii="TimesNewRomanPS" w:hAnsi="TimesNewRomanPS"/>
          <w:i/>
          <w:iCs/>
        </w:rPr>
      </w:pPr>
      <w:r>
        <w:rPr>
          <w:rFonts w:ascii="TimesNewRomanPS" w:hAnsi="TimesNewRomanPS"/>
          <w:i/>
          <w:iCs/>
        </w:rPr>
        <w:t xml:space="preserve">A: Yes, the presentation showed that we would need 500 hours of 40-GW storage. We will need a full range of storage options. </w:t>
      </w:r>
      <w:r w:rsidR="00737A9A">
        <w:rPr>
          <w:rFonts w:ascii="TimesNewRomanPS" w:hAnsi="TimesNewRomanPS"/>
          <w:i/>
          <w:iCs/>
        </w:rPr>
        <w:t xml:space="preserve">(See </w:t>
      </w:r>
      <w:r w:rsidR="008E42F9">
        <w:rPr>
          <w:rFonts w:ascii="TimesNewRomanPS" w:hAnsi="TimesNewRomanPS"/>
          <w:i/>
          <w:iCs/>
        </w:rPr>
        <w:t>longer answer</w:t>
      </w:r>
      <w:r w:rsidR="00737A9A">
        <w:rPr>
          <w:rFonts w:ascii="TimesNewRomanPS" w:hAnsi="TimesNewRomanPS"/>
          <w:i/>
          <w:iCs/>
        </w:rPr>
        <w:t xml:space="preserve"> below)</w:t>
      </w:r>
    </w:p>
    <w:p w14:paraId="4B26A499" w14:textId="7D680ACF" w:rsidR="00737A9A" w:rsidRDefault="00737A9A" w:rsidP="00261833">
      <w:pPr>
        <w:pStyle w:val="NormalWeb"/>
        <w:rPr>
          <w:rFonts w:ascii="TimesNewRomanPS" w:hAnsi="TimesNewRomanPS"/>
          <w:i/>
          <w:iCs/>
        </w:rPr>
      </w:pPr>
      <w:r>
        <w:rPr>
          <w:rFonts w:ascii="TimesNewRomanPS" w:hAnsi="TimesNewRomanPS"/>
          <w:i/>
          <w:iCs/>
        </w:rPr>
        <w:t>Q: As California increasingly electrifies transportation energy, cooking, and heating, the load profile will change. Are your estimates based on historical electrical load profiles or future profiles?</w:t>
      </w:r>
    </w:p>
    <w:p w14:paraId="1B73B497" w14:textId="2435F662" w:rsidR="00737A9A" w:rsidRDefault="00737A9A" w:rsidP="00261833">
      <w:pPr>
        <w:pStyle w:val="NormalWeb"/>
        <w:rPr>
          <w:rFonts w:ascii="TimesNewRomanPS" w:hAnsi="TimesNewRomanPS"/>
          <w:i/>
          <w:iCs/>
        </w:rPr>
      </w:pPr>
      <w:r>
        <w:rPr>
          <w:rFonts w:ascii="TimesNewRomanPS" w:hAnsi="TimesNewRomanPS"/>
          <w:i/>
          <w:iCs/>
        </w:rPr>
        <w:lastRenderedPageBreak/>
        <w:t>A: The data presented in the “Bird’s Eye View” in the presentation were 2019 data. In the future we anticipate the load profiles will change. In future years, resource adequacy may be most challenged at 5 am on a January morning when it has been cloudy and with little wind.</w:t>
      </w:r>
    </w:p>
    <w:p w14:paraId="4539C845" w14:textId="4D0D5736" w:rsidR="003C7786" w:rsidRDefault="003C7786" w:rsidP="00261833">
      <w:pPr>
        <w:pStyle w:val="NormalWeb"/>
        <w:rPr>
          <w:rFonts w:ascii="TimesNewRomanPS" w:hAnsi="TimesNewRomanPS"/>
          <w:i/>
          <w:iCs/>
        </w:rPr>
      </w:pPr>
      <w:r>
        <w:rPr>
          <w:rFonts w:ascii="TimesNewRomanPS" w:hAnsi="TimesNewRomanPS"/>
          <w:i/>
          <w:iCs/>
        </w:rPr>
        <w:t>Q: Why not include biogas as a long-duration storage option?</w:t>
      </w:r>
    </w:p>
    <w:p w14:paraId="13D783FE" w14:textId="13D0CD07" w:rsidR="003C7786" w:rsidRDefault="003C7786" w:rsidP="00261833">
      <w:pPr>
        <w:pStyle w:val="NormalWeb"/>
        <w:rPr>
          <w:rFonts w:ascii="TimesNewRomanPS" w:hAnsi="TimesNewRomanPS"/>
          <w:i/>
          <w:iCs/>
        </w:rPr>
      </w:pPr>
      <w:r>
        <w:rPr>
          <w:rFonts w:ascii="TimesNewRomanPS" w:hAnsi="TimesNewRomanPS"/>
          <w:i/>
          <w:iCs/>
        </w:rPr>
        <w:t>A: Biogas was not included in Kittner’s learning curve study, but we intend to include biogas in our more general analysis as indicated on some of the slides.</w:t>
      </w:r>
      <w:r w:rsidR="008E42F9">
        <w:rPr>
          <w:rFonts w:ascii="TimesNewRomanPS" w:hAnsi="TimesNewRomanPS"/>
          <w:i/>
          <w:iCs/>
        </w:rPr>
        <w:t xml:space="preserve"> (Also, see longer answer below to explain why we discuss biogas in a different way from self-contained storage systems)</w:t>
      </w:r>
    </w:p>
    <w:p w14:paraId="1D1E27C7" w14:textId="53DAD212" w:rsidR="003C7786" w:rsidRDefault="003C7786" w:rsidP="00261833">
      <w:pPr>
        <w:pStyle w:val="NormalWeb"/>
        <w:rPr>
          <w:rFonts w:ascii="TimesNewRomanPS" w:hAnsi="TimesNewRomanPS"/>
          <w:i/>
          <w:iCs/>
        </w:rPr>
      </w:pPr>
      <w:r>
        <w:rPr>
          <w:rFonts w:ascii="TimesNewRomanPS" w:hAnsi="TimesNewRomanPS"/>
          <w:i/>
          <w:iCs/>
        </w:rPr>
        <w:t>Q: Can you provide additional detail as to how you see the learning curves coming together for green hydrogen, which analysts claim</w:t>
      </w:r>
      <w:r w:rsidR="008E42F9">
        <w:rPr>
          <w:rFonts w:ascii="TimesNewRomanPS" w:hAnsi="TimesNewRomanPS"/>
          <w:i/>
          <w:iCs/>
        </w:rPr>
        <w:t xml:space="preserve"> have</w:t>
      </w:r>
      <w:r>
        <w:rPr>
          <w:rFonts w:ascii="TimesNewRomanPS" w:hAnsi="TimesNewRomanPS"/>
          <w:i/>
          <w:iCs/>
        </w:rPr>
        <w:t xml:space="preserve"> tremendous potential with scale and investment?</w:t>
      </w:r>
    </w:p>
    <w:p w14:paraId="1DF62A6B" w14:textId="33A722E0" w:rsidR="003C7786" w:rsidRDefault="003C7786" w:rsidP="00261833">
      <w:pPr>
        <w:pStyle w:val="NormalWeb"/>
        <w:rPr>
          <w:rFonts w:ascii="TimesNewRomanPS" w:hAnsi="TimesNewRomanPS"/>
          <w:i/>
          <w:iCs/>
        </w:rPr>
      </w:pPr>
      <w:r>
        <w:rPr>
          <w:rFonts w:ascii="TimesNewRomanPS" w:hAnsi="TimesNewRomanPS"/>
          <w:i/>
          <w:iCs/>
        </w:rPr>
        <w:t>A: Green hydrogen costs can drop very quickly if electrolyzers can be reduced in cost. The two primary cost drivers of green hydrogen are the cost of electricity and the cost of hardware (mainly the electrolyzer, but also the balance of system costs). In a world with overbuilt solar, the solar electricity can be very low cost. The challenge then is to reduce the electrolyzer cost so low that the electrolyzer can add minimal cost even if it is only run a few hours a day</w:t>
      </w:r>
      <w:r w:rsidR="000F4EE2">
        <w:rPr>
          <w:rFonts w:ascii="TimesNewRomanPS" w:hAnsi="TimesNewRomanPS"/>
          <w:i/>
          <w:iCs/>
        </w:rPr>
        <w:t xml:space="preserve"> (using electricity that might otherwise be curtailed or clipped)</w:t>
      </w:r>
      <w:r>
        <w:rPr>
          <w:rFonts w:ascii="TimesNewRomanPS" w:hAnsi="TimesNewRomanPS"/>
          <w:i/>
          <w:iCs/>
        </w:rPr>
        <w:t>. Adding batteries may help to use the electrolyzer</w:t>
      </w:r>
      <w:r w:rsidR="000F4EE2">
        <w:rPr>
          <w:rFonts w:ascii="TimesNewRomanPS" w:hAnsi="TimesNewRomanPS"/>
          <w:i/>
          <w:iCs/>
        </w:rPr>
        <w:t>s</w:t>
      </w:r>
      <w:r>
        <w:rPr>
          <w:rFonts w:ascii="TimesNewRomanPS" w:hAnsi="TimesNewRomanPS"/>
          <w:i/>
          <w:iCs/>
        </w:rPr>
        <w:t xml:space="preserve"> more hours per day.</w:t>
      </w:r>
      <w:r w:rsidR="001E3E0C">
        <w:rPr>
          <w:rFonts w:ascii="TimesNewRomanPS" w:hAnsi="TimesNewRomanPS"/>
          <w:i/>
          <w:iCs/>
        </w:rPr>
        <w:t xml:space="preserve"> Massive investment in Europe and Australia will be driving down electrolyzer costs.</w:t>
      </w:r>
      <w:r w:rsidR="007E159F">
        <w:rPr>
          <w:rFonts w:ascii="TimesNewRomanPS" w:hAnsi="TimesNewRomanPS"/>
          <w:i/>
          <w:iCs/>
        </w:rPr>
        <w:t xml:space="preserve"> The question is how soon green hydrogen will be able to compete with blue hydrogen.</w:t>
      </w:r>
      <w:r w:rsidR="000F4EE2">
        <w:rPr>
          <w:rFonts w:ascii="TimesNewRomanPS" w:hAnsi="TimesNewRomanPS"/>
          <w:i/>
          <w:iCs/>
        </w:rPr>
        <w:t xml:space="preserve"> Our learning curve analysis of electrolyzers will attempt to answer this question.</w:t>
      </w:r>
    </w:p>
    <w:p w14:paraId="740211BC" w14:textId="2F24B477" w:rsidR="00286938" w:rsidRDefault="0006403E" w:rsidP="00261833">
      <w:pPr>
        <w:pStyle w:val="NormalWeb"/>
        <w:rPr>
          <w:rFonts w:ascii="TimesNewRomanPS" w:hAnsi="TimesNewRomanPS"/>
          <w:i/>
          <w:iCs/>
        </w:rPr>
      </w:pPr>
      <w:r>
        <w:rPr>
          <w:rFonts w:ascii="TimesNewRomanPS" w:hAnsi="TimesNewRomanPS"/>
          <w:i/>
          <w:iCs/>
        </w:rPr>
        <w:t>Q: You mentioned demand management as a storage opportunity in your project. Are you going to compare the economics of new demand management technologies with new storage technologies?</w:t>
      </w:r>
    </w:p>
    <w:p w14:paraId="2E2BF82D" w14:textId="18442078" w:rsidR="0006403E" w:rsidRDefault="0006403E" w:rsidP="00261833">
      <w:pPr>
        <w:pStyle w:val="NormalWeb"/>
        <w:rPr>
          <w:rFonts w:ascii="TimesNewRomanPS" w:hAnsi="TimesNewRomanPS"/>
          <w:i/>
          <w:iCs/>
        </w:rPr>
      </w:pPr>
      <w:r>
        <w:rPr>
          <w:rFonts w:ascii="TimesNewRomanPS" w:hAnsi="TimesNewRomanPS"/>
          <w:i/>
          <w:iCs/>
        </w:rPr>
        <w:t>A: Definitely. Demand management itself uses many storage strategies.</w:t>
      </w:r>
    </w:p>
    <w:p w14:paraId="089E55AB" w14:textId="5B5EF9A1" w:rsidR="0006403E" w:rsidRDefault="0006403E" w:rsidP="00261833">
      <w:pPr>
        <w:pStyle w:val="NormalWeb"/>
        <w:rPr>
          <w:rFonts w:ascii="TimesNewRomanPS" w:hAnsi="TimesNewRomanPS"/>
          <w:i/>
          <w:iCs/>
        </w:rPr>
      </w:pPr>
      <w:r>
        <w:rPr>
          <w:rFonts w:ascii="TimesNewRomanPS" w:hAnsi="TimesNewRomanPS"/>
          <w:i/>
          <w:iCs/>
        </w:rPr>
        <w:t>Q: Global transmission is an interesting idea. Is it between the U.S. and China only? China is aggressively building coal plants. How does this idea fit in California clean energy policies?</w:t>
      </w:r>
    </w:p>
    <w:p w14:paraId="659B77A4" w14:textId="2BD5CBB2" w:rsidR="0006403E" w:rsidRDefault="0006403E" w:rsidP="00261833">
      <w:pPr>
        <w:pStyle w:val="NormalWeb"/>
        <w:rPr>
          <w:rFonts w:ascii="TimesNewRomanPS" w:hAnsi="TimesNewRomanPS"/>
          <w:i/>
          <w:iCs/>
        </w:rPr>
      </w:pPr>
      <w:r>
        <w:rPr>
          <w:rFonts w:ascii="TimesNewRomanPS" w:hAnsi="TimesNewRomanPS"/>
          <w:i/>
          <w:iCs/>
        </w:rPr>
        <w:t>A: To be clear: I raised the vision of global transmission (across the North pole) with the hope that the audience would find it interesting and amusing, but it is NOT a practical solution. However, transmission from Wyoming to California to bring wind electricity in the winter when California needs electricity IS a potential solution. There’</w:t>
      </w:r>
      <w:r w:rsidR="00347AEB">
        <w:rPr>
          <w:rFonts w:ascii="TimesNewRomanPS" w:hAnsi="TimesNewRomanPS"/>
          <w:i/>
          <w:iCs/>
        </w:rPr>
        <w:t>re</w:t>
      </w:r>
      <w:r>
        <w:rPr>
          <w:rFonts w:ascii="TimesNewRomanPS" w:hAnsi="TimesNewRomanPS"/>
          <w:i/>
          <w:iCs/>
        </w:rPr>
        <w:t xml:space="preserve"> still political challenges with transmission from Wyoming.</w:t>
      </w:r>
    </w:p>
    <w:p w14:paraId="7150E149" w14:textId="57418D94" w:rsidR="0006403E" w:rsidRDefault="0006403E" w:rsidP="00261833">
      <w:pPr>
        <w:pStyle w:val="NormalWeb"/>
        <w:rPr>
          <w:rFonts w:ascii="TimesNewRomanPS" w:hAnsi="TimesNewRomanPS"/>
          <w:i/>
          <w:iCs/>
        </w:rPr>
      </w:pPr>
      <w:r>
        <w:rPr>
          <w:rFonts w:ascii="TimesNewRomanPS" w:hAnsi="TimesNewRomanPS"/>
          <w:i/>
          <w:iCs/>
        </w:rPr>
        <w:t>Q: You provided an estimate of the TWh for the Hoover Dam. Do you have an estimate of the energy storage capacity of the existing California natural gas system for seasonal storing of renewable hydrogen and renewable methane</w:t>
      </w:r>
      <w:r w:rsidR="006A75C2">
        <w:rPr>
          <w:rFonts w:ascii="TimesNewRomanPS" w:hAnsi="TimesNewRomanPS"/>
          <w:i/>
          <w:iCs/>
        </w:rPr>
        <w:t>?</w:t>
      </w:r>
    </w:p>
    <w:p w14:paraId="54B07D17" w14:textId="44C1FA99" w:rsidR="00C872AE" w:rsidRDefault="00C872AE" w:rsidP="00261833">
      <w:pPr>
        <w:pStyle w:val="NormalWeb"/>
        <w:rPr>
          <w:rFonts w:ascii="TimesNewRomanPS" w:hAnsi="TimesNewRomanPS"/>
          <w:i/>
          <w:iCs/>
        </w:rPr>
      </w:pPr>
      <w:r>
        <w:rPr>
          <w:rFonts w:ascii="TimesNewRomanPS" w:hAnsi="TimesNewRomanPS"/>
          <w:i/>
          <w:iCs/>
        </w:rPr>
        <w:t xml:space="preserve">A: </w:t>
      </w:r>
      <w:r w:rsidR="003111D3">
        <w:rPr>
          <w:rFonts w:ascii="TimesNewRomanPS" w:hAnsi="TimesNewRomanPS"/>
          <w:i/>
          <w:iCs/>
        </w:rPr>
        <w:t>One approach to answer</w:t>
      </w:r>
      <w:r w:rsidR="000F4EE2">
        <w:rPr>
          <w:rFonts w:ascii="TimesNewRomanPS" w:hAnsi="TimesNewRomanPS"/>
          <w:i/>
          <w:iCs/>
        </w:rPr>
        <w:t>ing</w:t>
      </w:r>
      <w:r w:rsidR="003111D3">
        <w:rPr>
          <w:rFonts w:ascii="TimesNewRomanPS" w:hAnsi="TimesNewRomanPS"/>
          <w:i/>
          <w:iCs/>
        </w:rPr>
        <w:t xml:space="preserve"> this is to document the amount of natural gas that is currently used for electricity generation. That natural gas is coming from a mixture of places (storage, pipelines, wells), but we may estimate that biogas from digesters or landfills could similarly be stored and delivered at a similar scale. </w:t>
      </w:r>
      <w:r w:rsidR="005067B5">
        <w:rPr>
          <w:rFonts w:ascii="TimesNewRomanPS" w:hAnsi="TimesNewRomanPS"/>
          <w:i/>
          <w:iCs/>
        </w:rPr>
        <w:t>F</w:t>
      </w:r>
      <w:r w:rsidR="003111D3">
        <w:rPr>
          <w:rFonts w:ascii="TimesNewRomanPS" w:hAnsi="TimesNewRomanPS"/>
          <w:i/>
          <w:iCs/>
        </w:rPr>
        <w:t xml:space="preserve">igure </w:t>
      </w:r>
      <w:r w:rsidR="005067B5">
        <w:rPr>
          <w:rFonts w:ascii="TimesNewRomanPS" w:hAnsi="TimesNewRomanPS"/>
          <w:i/>
          <w:iCs/>
        </w:rPr>
        <w:t>1</w:t>
      </w:r>
      <w:r w:rsidR="003111D3">
        <w:rPr>
          <w:rFonts w:ascii="TimesNewRomanPS" w:hAnsi="TimesNewRomanPS"/>
          <w:i/>
          <w:iCs/>
        </w:rPr>
        <w:t xml:space="preserve"> shows the amount of electricity that was </w:t>
      </w:r>
      <w:r w:rsidR="003111D3">
        <w:rPr>
          <w:rFonts w:ascii="TimesNewRomanPS" w:hAnsi="TimesNewRomanPS"/>
          <w:i/>
          <w:iCs/>
        </w:rPr>
        <w:lastRenderedPageBreak/>
        <w:t>generated from natural gas in the state of California each month in 2019 relative to the total electricity generated in California.</w:t>
      </w:r>
      <w:r w:rsidR="00347AEB">
        <w:rPr>
          <w:rFonts w:ascii="TimesNewRomanPS" w:hAnsi="TimesNewRomanPS"/>
          <w:i/>
          <w:iCs/>
        </w:rPr>
        <w:t xml:space="preserve"> Figure 2 shows the natural gas usage by sector. </w:t>
      </w:r>
      <w:r w:rsidR="00EB782C">
        <w:rPr>
          <w:rFonts w:ascii="TimesNewRomanPS" w:hAnsi="TimesNewRomanPS"/>
          <w:i/>
          <w:iCs/>
        </w:rPr>
        <w:t>The capacity of the system to deliver natural gas exceeds most estimates of the potential for biogas.</w:t>
      </w:r>
    </w:p>
    <w:p w14:paraId="727A6E7E" w14:textId="08E514C2" w:rsidR="005067B5" w:rsidRDefault="005067B5" w:rsidP="005067B5">
      <w:pPr>
        <w:pStyle w:val="NormalWeb"/>
        <w:jc w:val="center"/>
        <w:rPr>
          <w:rFonts w:ascii="TimesNewRomanPS" w:hAnsi="TimesNewRomanPS"/>
          <w:i/>
          <w:iCs/>
        </w:rPr>
      </w:pPr>
      <w:r w:rsidRPr="005067B5">
        <w:rPr>
          <w:rFonts w:ascii="TimesNewRomanPS" w:hAnsi="TimesNewRomanPS"/>
          <w:i/>
          <w:iCs/>
          <w:noProof/>
        </w:rPr>
        <w:drawing>
          <wp:inline distT="0" distB="0" distL="0" distR="0" wp14:anchorId="1D255D53" wp14:editId="3D79E8CF">
            <wp:extent cx="5016500" cy="264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016500" cy="2641600"/>
                    </a:xfrm>
                    <a:prstGeom prst="rect">
                      <a:avLst/>
                    </a:prstGeom>
                  </pic:spPr>
                </pic:pic>
              </a:graphicData>
            </a:graphic>
          </wp:inline>
        </w:drawing>
      </w:r>
    </w:p>
    <w:p w14:paraId="575A1BDC" w14:textId="385FBE9D" w:rsidR="005067B5" w:rsidRDefault="005067B5" w:rsidP="005067B5">
      <w:pPr>
        <w:pStyle w:val="NormalWeb"/>
        <w:jc w:val="center"/>
        <w:rPr>
          <w:rFonts w:ascii="TimesNewRomanPS" w:hAnsi="TimesNewRomanPS"/>
        </w:rPr>
      </w:pPr>
      <w:r>
        <w:rPr>
          <w:rFonts w:ascii="TimesNewRomanPS" w:hAnsi="TimesNewRomanPS"/>
        </w:rPr>
        <w:t xml:space="preserve">Fig. 1. </w:t>
      </w:r>
      <w:r w:rsidRPr="005067B5">
        <w:rPr>
          <w:rFonts w:ascii="TimesNewRomanPS" w:hAnsi="TimesNewRomanPS"/>
        </w:rPr>
        <w:t>Electricity generation in California – Data source EIA.</w:t>
      </w:r>
      <w:r w:rsidR="003C2A4A">
        <w:rPr>
          <w:rFonts w:ascii="TimesNewRomanPS" w:hAnsi="TimesNewRomanPS"/>
        </w:rPr>
        <w:t xml:space="preserve"> Relative variation in electricity from natural gas is greater than for the total electricity.</w:t>
      </w:r>
    </w:p>
    <w:p w14:paraId="7664BA74" w14:textId="5710690F" w:rsidR="005067B5" w:rsidRDefault="005067B5" w:rsidP="005067B5">
      <w:pPr>
        <w:pStyle w:val="NormalWeb"/>
        <w:jc w:val="center"/>
        <w:rPr>
          <w:rFonts w:ascii="TimesNewRomanPS" w:hAnsi="TimesNewRomanPS"/>
        </w:rPr>
      </w:pPr>
      <w:r w:rsidRPr="005067B5">
        <w:rPr>
          <w:rFonts w:ascii="TimesNewRomanPS" w:hAnsi="TimesNewRomanPS"/>
          <w:noProof/>
        </w:rPr>
        <w:drawing>
          <wp:inline distT="0" distB="0" distL="0" distR="0" wp14:anchorId="6F7D47B2" wp14:editId="34345793">
            <wp:extent cx="5016500" cy="264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016500" cy="2641600"/>
                    </a:xfrm>
                    <a:prstGeom prst="rect">
                      <a:avLst/>
                    </a:prstGeom>
                  </pic:spPr>
                </pic:pic>
              </a:graphicData>
            </a:graphic>
          </wp:inline>
        </w:drawing>
      </w:r>
    </w:p>
    <w:p w14:paraId="2B9B494E" w14:textId="707FBEDF" w:rsidR="005067B5" w:rsidRPr="005067B5" w:rsidRDefault="005067B5" w:rsidP="005067B5">
      <w:pPr>
        <w:pStyle w:val="NormalWeb"/>
        <w:jc w:val="center"/>
        <w:rPr>
          <w:rFonts w:ascii="TimesNewRomanPS" w:hAnsi="TimesNewRomanPS"/>
        </w:rPr>
      </w:pPr>
      <w:r>
        <w:rPr>
          <w:rFonts w:ascii="TimesNewRomanPS" w:hAnsi="TimesNewRomanPS"/>
        </w:rPr>
        <w:t>Fig. 2. Natural gas usage in California – Data source EIA.</w:t>
      </w:r>
    </w:p>
    <w:p w14:paraId="7ED28B5E" w14:textId="0209299F" w:rsidR="00347AEB" w:rsidRDefault="00347AEB" w:rsidP="00261833">
      <w:pPr>
        <w:pStyle w:val="NormalWeb"/>
        <w:rPr>
          <w:rFonts w:ascii="TimesNewRomanPS" w:hAnsi="TimesNewRomanPS"/>
          <w:i/>
          <w:iCs/>
        </w:rPr>
      </w:pPr>
      <w:r>
        <w:rPr>
          <w:rFonts w:ascii="TimesNewRomanPS" w:hAnsi="TimesNewRomanPS"/>
          <w:i/>
          <w:iCs/>
        </w:rPr>
        <w:t>It is generally accepted that hydrogen can be mixed with natural gas into existing pipelines at a concentration up to 10% without needing to replace the infrastructure. The mixing is not necessarily straight forward in that hydrogen is much lighter than methane, so may tend to sit on top of the natural gas if deliberate mixing is not undertaken.</w:t>
      </w:r>
    </w:p>
    <w:p w14:paraId="602909C9" w14:textId="77777777" w:rsidR="00EB782C" w:rsidRDefault="00347AEB" w:rsidP="00261833">
      <w:pPr>
        <w:pStyle w:val="NormalWeb"/>
        <w:rPr>
          <w:rFonts w:ascii="TimesNewRomanPS" w:hAnsi="TimesNewRomanPS"/>
          <w:i/>
          <w:iCs/>
        </w:rPr>
      </w:pPr>
      <w:r>
        <w:rPr>
          <w:rFonts w:ascii="TimesNewRomanPS" w:hAnsi="TimesNewRomanPS"/>
          <w:i/>
          <w:iCs/>
        </w:rPr>
        <w:lastRenderedPageBreak/>
        <w:t xml:space="preserve">Some of the </w:t>
      </w:r>
      <w:r w:rsidR="00EB782C">
        <w:rPr>
          <w:rFonts w:ascii="TimesNewRomanPS" w:hAnsi="TimesNewRomanPS"/>
          <w:i/>
          <w:iCs/>
        </w:rPr>
        <w:t xml:space="preserve">pipeline and valve </w:t>
      </w:r>
      <w:r>
        <w:rPr>
          <w:rFonts w:ascii="TimesNewRomanPS" w:hAnsi="TimesNewRomanPS"/>
          <w:i/>
          <w:iCs/>
        </w:rPr>
        <w:t xml:space="preserve">materials used for natural gas can also handle hydrogen, but some of the existing infrastructure would be damaged by 100% hydrogen. </w:t>
      </w:r>
    </w:p>
    <w:p w14:paraId="348E7B99" w14:textId="5142EAA1" w:rsidR="00347AEB" w:rsidRDefault="00870B23" w:rsidP="00261833">
      <w:pPr>
        <w:pStyle w:val="NormalWeb"/>
        <w:rPr>
          <w:rFonts w:ascii="TimesNewRomanPS" w:hAnsi="TimesNewRomanPS"/>
          <w:i/>
          <w:iCs/>
        </w:rPr>
      </w:pPr>
      <w:r>
        <w:rPr>
          <w:rFonts w:ascii="TimesNewRomanPS" w:hAnsi="TimesNewRomanPS"/>
          <w:i/>
          <w:iCs/>
        </w:rPr>
        <w:t xml:space="preserve">One plan for storing massive amounts of hydrogen is to use salt </w:t>
      </w:r>
      <w:r w:rsidR="00AC2111">
        <w:rPr>
          <w:rFonts w:ascii="TimesNewRomanPS" w:hAnsi="TimesNewRomanPS"/>
          <w:i/>
          <w:iCs/>
        </w:rPr>
        <w:t xml:space="preserve">domes.  For example, </w:t>
      </w:r>
      <w:hyperlink r:id="rId10" w:history="1">
        <w:r w:rsidR="00AC2111" w:rsidRPr="00CC487C">
          <w:rPr>
            <w:rStyle w:val="Hyperlink"/>
            <w:rFonts w:ascii="TimesNewRomanPS" w:hAnsi="TimesNewRomanPS"/>
            <w:i/>
            <w:iCs/>
          </w:rPr>
          <w:t>https://www.cnbc.com/2020/11/01/how-salt-caverns-may-trigger-11-trillion-hydrogen-energy-boom-.html</w:t>
        </w:r>
      </w:hyperlink>
      <w:r w:rsidR="00AC2111">
        <w:rPr>
          <w:rFonts w:ascii="TimesNewRomanPS" w:hAnsi="TimesNewRomanPS"/>
          <w:i/>
          <w:iCs/>
        </w:rPr>
        <w:t xml:space="preserve"> describes the Advance Clean Energy Storage project in Utah, which aims to build a storage facility to supply a 1-GW power plant.</w:t>
      </w:r>
      <w:r w:rsidR="00746DF9">
        <w:rPr>
          <w:rFonts w:ascii="TimesNewRomanPS" w:hAnsi="TimesNewRomanPS"/>
          <w:i/>
          <w:iCs/>
        </w:rPr>
        <w:t xml:space="preserve"> The first phase of the project would be able to store 150 GWh, which is small compared to the numbers in Figures 1 and 2. However, the formation in Utah may be able to hold 100 times that when fully developed.</w:t>
      </w:r>
      <w:r w:rsidR="00EB782C">
        <w:rPr>
          <w:rFonts w:ascii="TimesNewRomanPS" w:hAnsi="TimesNewRomanPS"/>
          <w:i/>
          <w:iCs/>
        </w:rPr>
        <w:t xml:space="preserve"> There is also a suggestion that California could store a large amount of hydrogen in salt domes.</w:t>
      </w:r>
    </w:p>
    <w:p w14:paraId="08E1421B" w14:textId="3E95405A" w:rsidR="00C872AE" w:rsidRDefault="00C872AE" w:rsidP="00261833">
      <w:pPr>
        <w:pStyle w:val="NormalWeb"/>
        <w:rPr>
          <w:rFonts w:ascii="TimesNewRomanPS" w:hAnsi="TimesNewRomanPS"/>
          <w:i/>
          <w:iCs/>
        </w:rPr>
      </w:pPr>
      <w:r>
        <w:rPr>
          <w:rFonts w:ascii="TimesNewRomanPS" w:hAnsi="TimesNewRomanPS"/>
          <w:i/>
          <w:iCs/>
        </w:rPr>
        <w:t>Q: How do you see the learning curve projections for green hydrogen working their way into the modeling.</w:t>
      </w:r>
    </w:p>
    <w:p w14:paraId="6EA93D9E" w14:textId="575290D8" w:rsidR="00C872AE" w:rsidRDefault="00C872AE" w:rsidP="00261833">
      <w:pPr>
        <w:pStyle w:val="NormalWeb"/>
        <w:rPr>
          <w:rFonts w:ascii="TimesNewRomanPS" w:hAnsi="TimesNewRomanPS"/>
          <w:i/>
          <w:iCs/>
        </w:rPr>
      </w:pPr>
      <w:r>
        <w:rPr>
          <w:rFonts w:ascii="TimesNewRomanPS" w:hAnsi="TimesNewRomanPS"/>
          <w:i/>
          <w:iCs/>
        </w:rPr>
        <w:t xml:space="preserve">A: We can model the cost of the electrolyzer installation and operation </w:t>
      </w:r>
      <w:r w:rsidR="00EB782C">
        <w:rPr>
          <w:rFonts w:ascii="TimesNewRomanPS" w:hAnsi="TimesNewRomanPS"/>
          <w:i/>
          <w:iCs/>
        </w:rPr>
        <w:t>to obtain the costs and offset those costs by</w:t>
      </w:r>
      <w:r>
        <w:rPr>
          <w:rFonts w:ascii="TimesNewRomanPS" w:hAnsi="TimesNewRomanPS"/>
          <w:i/>
          <w:iCs/>
        </w:rPr>
        <w:t xml:space="preserve"> the value of the delivered hydrogen. </w:t>
      </w:r>
    </w:p>
    <w:p w14:paraId="190FC264" w14:textId="6CEF4FDD" w:rsidR="00A71DE4" w:rsidRPr="00A71DE4" w:rsidRDefault="00A71DE4" w:rsidP="00261833">
      <w:pPr>
        <w:pStyle w:val="NormalWeb"/>
        <w:rPr>
          <w:rFonts w:ascii="TimesNewRomanPS" w:hAnsi="TimesNewRomanPS"/>
          <w:b/>
          <w:bCs/>
        </w:rPr>
      </w:pPr>
      <w:r w:rsidRPr="00A71DE4">
        <w:rPr>
          <w:rFonts w:ascii="TimesNewRomanPS" w:hAnsi="TimesNewRomanPS"/>
          <w:b/>
          <w:bCs/>
        </w:rPr>
        <w:t>Summary of key discussion points</w:t>
      </w:r>
      <w:r w:rsidR="00B23D35">
        <w:rPr>
          <w:rFonts w:ascii="TimesNewRomanPS" w:hAnsi="TimesNewRomanPS"/>
          <w:b/>
          <w:bCs/>
        </w:rPr>
        <w:t xml:space="preserve"> – especially the definition of long-duration storage</w:t>
      </w:r>
    </w:p>
    <w:p w14:paraId="66FECE97" w14:textId="423E1A0C" w:rsidR="000051FE" w:rsidRPr="000051FE" w:rsidRDefault="000051FE" w:rsidP="00187112">
      <w:pPr>
        <w:pStyle w:val="NormalWeb"/>
        <w:rPr>
          <w:rFonts w:ascii="TimesNewRomanPS" w:hAnsi="TimesNewRomanPS"/>
          <w:i/>
          <w:iCs/>
        </w:rPr>
      </w:pPr>
      <w:r w:rsidRPr="000051FE">
        <w:rPr>
          <w:rFonts w:ascii="TimesNewRomanPS" w:hAnsi="TimesNewRomanPS"/>
          <w:i/>
          <w:iCs/>
        </w:rPr>
        <w:t>Inclusion of biogas and hydrogen in “long-duration storage”</w:t>
      </w:r>
    </w:p>
    <w:p w14:paraId="5FA6D455" w14:textId="576F6191" w:rsidR="00187112" w:rsidRPr="00A71DE4" w:rsidRDefault="00A71DE4" w:rsidP="00187112">
      <w:pPr>
        <w:pStyle w:val="NormalWeb"/>
        <w:rPr>
          <w:rFonts w:ascii="TimesNewRomanPS" w:hAnsi="TimesNewRomanPS"/>
        </w:rPr>
      </w:pPr>
      <w:r>
        <w:rPr>
          <w:rFonts w:ascii="TimesNewRomanPS" w:hAnsi="TimesNewRomanPS"/>
        </w:rPr>
        <w:t xml:space="preserve">A primary question from those studying hydrogen and biogas/biomass is about what is included in long-duration storage. </w:t>
      </w:r>
      <w:r w:rsidR="0094613E">
        <w:rPr>
          <w:rFonts w:ascii="TimesNewRomanPS" w:hAnsi="TimesNewRomanPS"/>
        </w:rPr>
        <w:t xml:space="preserve">Further reflection on this topic suggests </w:t>
      </w:r>
      <w:r w:rsidR="00306A0C">
        <w:rPr>
          <w:rFonts w:ascii="TimesNewRomanPS" w:hAnsi="TimesNewRomanPS"/>
        </w:rPr>
        <w:t>a different way of introducing the topic</w:t>
      </w:r>
      <w:r w:rsidR="0052770B">
        <w:rPr>
          <w:rFonts w:ascii="TimesNewRomanPS" w:hAnsi="TimesNewRomanPS"/>
        </w:rPr>
        <w:t>.</w:t>
      </w:r>
      <w:r w:rsidR="00187112">
        <w:rPr>
          <w:rFonts w:ascii="TimesNewRomanPS" w:hAnsi="TimesNewRomanPS"/>
        </w:rPr>
        <w:t xml:space="preserve">  We suggest differentiating “self-contained long-duration storage” from “cross-sector long-duration storage” as shown in Figure 3.</w:t>
      </w:r>
      <w:r w:rsidR="00187112" w:rsidRPr="00187112">
        <w:rPr>
          <w:rFonts w:ascii="TimesNewRomanPS" w:hAnsi="TimesNewRomanPS"/>
        </w:rPr>
        <w:t xml:space="preserve"> </w:t>
      </w:r>
      <w:r w:rsidR="00187112">
        <w:rPr>
          <w:rFonts w:ascii="TimesNewRomanPS" w:hAnsi="TimesNewRomanPS"/>
        </w:rPr>
        <w:t>A self-contained long-duration storage system is able to convert electricity to another form of energy and then regenerate the electricity at a later time</w:t>
      </w:r>
      <w:r w:rsidR="00B23D35">
        <w:rPr>
          <w:rFonts w:ascii="TimesNewRomanPS" w:hAnsi="TimesNewRomanPS"/>
        </w:rPr>
        <w:t>, with the on-site energy storage capability defined as the energy rating of the system and the discharge power defined as the power rating of the system</w:t>
      </w:r>
      <w:r w:rsidR="00187112">
        <w:rPr>
          <w:rFonts w:ascii="TimesNewRomanPS" w:hAnsi="TimesNewRomanPS"/>
        </w:rPr>
        <w:t>.</w:t>
      </w:r>
      <w:r w:rsidR="00B23D35">
        <w:rPr>
          <w:rStyle w:val="FootnoteReference"/>
          <w:rFonts w:ascii="TimesNewRomanPS" w:hAnsi="TimesNewRomanPS"/>
        </w:rPr>
        <w:footnoteReference w:id="1"/>
      </w:r>
      <w:r w:rsidR="00187112">
        <w:rPr>
          <w:rFonts w:ascii="TimesNewRomanPS" w:hAnsi="TimesNewRomanPS"/>
        </w:rPr>
        <w:t xml:space="preserve"> The </w:t>
      </w:r>
      <w:r w:rsidR="00937C6C">
        <w:rPr>
          <w:rFonts w:ascii="TimesNewRomanPS" w:hAnsi="TimesNewRomanPS"/>
        </w:rPr>
        <w:t>“</w:t>
      </w:r>
      <w:r w:rsidR="00187112">
        <w:rPr>
          <w:rFonts w:ascii="TimesNewRomanPS" w:hAnsi="TimesNewRomanPS"/>
        </w:rPr>
        <w:t>minimum discharge duration</w:t>
      </w:r>
      <w:r w:rsidR="00937C6C">
        <w:rPr>
          <w:rFonts w:ascii="TimesNewRomanPS" w:hAnsi="TimesNewRomanPS"/>
        </w:rPr>
        <w:t>”</w:t>
      </w:r>
      <w:r w:rsidR="00187112">
        <w:rPr>
          <w:rFonts w:ascii="TimesNewRomanPS" w:hAnsi="TimesNewRomanPS"/>
        </w:rPr>
        <w:t xml:space="preserve"> may be calculated from the amount of energy that can be stored by the system (kWh) divided by the rated power of the electricity generating system (kW). The actual discharge time may be longer if the system is discharged at a power that is less than the rated power. </w:t>
      </w:r>
      <w:r w:rsidR="00937C6C">
        <w:rPr>
          <w:rFonts w:ascii="TimesNewRomanPS" w:hAnsi="TimesNewRomanPS"/>
        </w:rPr>
        <w:t>In contrast, cross-sector long-duration storage shares the stored energy product with another sector, or at least uses a storage location that is decoupled from the local system. In this case, the duration is undefined.</w:t>
      </w:r>
    </w:p>
    <w:p w14:paraId="074309CC" w14:textId="1E2CA1D7" w:rsidR="00A71DE4" w:rsidRDefault="00A71DE4" w:rsidP="00261833">
      <w:pPr>
        <w:pStyle w:val="NormalWeb"/>
        <w:rPr>
          <w:rFonts w:ascii="TimesNewRomanPS" w:hAnsi="TimesNewRomanPS"/>
        </w:rPr>
      </w:pPr>
    </w:p>
    <w:p w14:paraId="299C8BC3" w14:textId="458E3859" w:rsidR="00187112" w:rsidRDefault="00187112" w:rsidP="00261833">
      <w:pPr>
        <w:pStyle w:val="NormalWeb"/>
        <w:rPr>
          <w:rFonts w:ascii="TimesNewRomanPS" w:hAnsi="TimesNewRomanPS"/>
        </w:rPr>
      </w:pPr>
      <w:r w:rsidRPr="00187112">
        <w:rPr>
          <w:rFonts w:ascii="TimesNewRomanPS" w:hAnsi="TimesNewRomanPS"/>
          <w:noProof/>
        </w:rPr>
        <w:lastRenderedPageBreak/>
        <w:drawing>
          <wp:inline distT="0" distB="0" distL="0" distR="0" wp14:anchorId="59A63DE4" wp14:editId="03D15B5C">
            <wp:extent cx="594360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81300"/>
                    </a:xfrm>
                    <a:prstGeom prst="rect">
                      <a:avLst/>
                    </a:prstGeom>
                  </pic:spPr>
                </pic:pic>
              </a:graphicData>
            </a:graphic>
          </wp:inline>
        </w:drawing>
      </w:r>
    </w:p>
    <w:p w14:paraId="7C149521" w14:textId="323E6083" w:rsidR="00187112" w:rsidRPr="00A71DE4" w:rsidRDefault="00187112" w:rsidP="00261833">
      <w:pPr>
        <w:pStyle w:val="NormalWeb"/>
        <w:rPr>
          <w:rFonts w:ascii="TimesNewRomanPS" w:hAnsi="TimesNewRomanPS"/>
        </w:rPr>
      </w:pPr>
      <w:r>
        <w:rPr>
          <w:rFonts w:ascii="TimesNewRomanPS" w:hAnsi="TimesNewRomanPS"/>
        </w:rPr>
        <w:t>Figure 3. Self-contained long-duration storage and cross-sector long-duration storage as described in the text</w:t>
      </w:r>
    </w:p>
    <w:p w14:paraId="6EAA2AE2" w14:textId="2C4DF661" w:rsidR="003A47E6" w:rsidRDefault="00202D8B" w:rsidP="00261833">
      <w:pPr>
        <w:pStyle w:val="NormalWeb"/>
        <w:rPr>
          <w:rFonts w:ascii="TimesNewRomanPS" w:hAnsi="TimesNewRomanPS"/>
        </w:rPr>
      </w:pPr>
      <w:r>
        <w:rPr>
          <w:rFonts w:ascii="TimesNewRomanPS" w:hAnsi="TimesNewRomanPS"/>
        </w:rPr>
        <w:t>Examples of cross-sector long-duration storage</w:t>
      </w:r>
      <w:r w:rsidR="005915BB">
        <w:rPr>
          <w:rFonts w:ascii="TimesNewRomanPS" w:hAnsi="TimesNewRomanPS"/>
        </w:rPr>
        <w:t xml:space="preserve"> that take surplus electricity to a useful product</w:t>
      </w:r>
      <w:r>
        <w:rPr>
          <w:rFonts w:ascii="TimesNewRomanPS" w:hAnsi="TimesNewRomanPS"/>
        </w:rPr>
        <w:t xml:space="preserve"> include:</w:t>
      </w:r>
    </w:p>
    <w:p w14:paraId="0DCEB345" w14:textId="52628149" w:rsidR="00202D8B" w:rsidRDefault="00202D8B" w:rsidP="00202D8B">
      <w:pPr>
        <w:pStyle w:val="NormalWeb"/>
        <w:numPr>
          <w:ilvl w:val="0"/>
          <w:numId w:val="10"/>
        </w:numPr>
        <w:rPr>
          <w:rFonts w:ascii="TimesNewRomanPS" w:hAnsi="TimesNewRomanPS"/>
        </w:rPr>
      </w:pPr>
      <w:r>
        <w:rPr>
          <w:rFonts w:ascii="TimesNewRomanPS" w:hAnsi="TimesNewRomanPS"/>
        </w:rPr>
        <w:t>Using surplus electricity to generate hydrogen, which may be then converted to fertilizer, used to power a fuel-cell vehicle, etc.</w:t>
      </w:r>
    </w:p>
    <w:p w14:paraId="2806A350" w14:textId="45F1AB33" w:rsidR="005915BB" w:rsidRDefault="005915BB" w:rsidP="00202D8B">
      <w:pPr>
        <w:pStyle w:val="NormalWeb"/>
        <w:numPr>
          <w:ilvl w:val="0"/>
          <w:numId w:val="10"/>
        </w:numPr>
        <w:rPr>
          <w:rFonts w:ascii="TimesNewRomanPS" w:hAnsi="TimesNewRomanPS"/>
        </w:rPr>
      </w:pPr>
      <w:r>
        <w:rPr>
          <w:rFonts w:ascii="TimesNewRomanPS" w:hAnsi="TimesNewRomanPS"/>
        </w:rPr>
        <w:t xml:space="preserve">Using oversupplied summertime electricity to process food during the summer, then idling the process plant during the winter months when there are no harvests and when the supply of electricity is low. </w:t>
      </w:r>
    </w:p>
    <w:p w14:paraId="517EB23E" w14:textId="1E060CE4" w:rsidR="005915BB" w:rsidRDefault="005915BB" w:rsidP="005915BB">
      <w:pPr>
        <w:pStyle w:val="NormalWeb"/>
        <w:rPr>
          <w:rFonts w:ascii="TimesNewRomanPS" w:hAnsi="TimesNewRomanPS"/>
        </w:rPr>
      </w:pPr>
      <w:r>
        <w:rPr>
          <w:rFonts w:ascii="TimesNewRomanPS" w:hAnsi="TimesNewRomanPS"/>
        </w:rPr>
        <w:t>Examples of cross-sector long-duration storage that use stored energy to generate electricity include:</w:t>
      </w:r>
    </w:p>
    <w:p w14:paraId="1B9EDB65" w14:textId="47E2366F" w:rsidR="00202D8B" w:rsidRDefault="00202D8B" w:rsidP="00202D8B">
      <w:pPr>
        <w:pStyle w:val="NormalWeb"/>
        <w:numPr>
          <w:ilvl w:val="0"/>
          <w:numId w:val="10"/>
        </w:numPr>
        <w:rPr>
          <w:rFonts w:ascii="TimesNewRomanPS" w:hAnsi="TimesNewRomanPS"/>
        </w:rPr>
      </w:pPr>
      <w:r>
        <w:rPr>
          <w:rFonts w:ascii="TimesNewRomanPS" w:hAnsi="TimesNewRomanPS"/>
        </w:rPr>
        <w:t>Biogas from a landfill used to generate electricity</w:t>
      </w:r>
    </w:p>
    <w:p w14:paraId="4C4F0B54" w14:textId="0F1E96A6" w:rsidR="005915BB" w:rsidRDefault="005915BB" w:rsidP="00202D8B">
      <w:pPr>
        <w:pStyle w:val="NormalWeb"/>
        <w:numPr>
          <w:ilvl w:val="0"/>
          <w:numId w:val="10"/>
        </w:numPr>
        <w:rPr>
          <w:rFonts w:ascii="TimesNewRomanPS" w:hAnsi="TimesNewRomanPS"/>
        </w:rPr>
      </w:pPr>
      <w:r>
        <w:rPr>
          <w:rFonts w:ascii="TimesNewRomanPS" w:hAnsi="TimesNewRomanPS"/>
        </w:rPr>
        <w:t>Vehicle-to-grid electricity from a truck using a fuel cell to convert hydrogen to electricity (the hydrogen may be distributed using the same infrastructure used for powering fuel-cell vehicles)</w:t>
      </w:r>
    </w:p>
    <w:p w14:paraId="27FF0E4F" w14:textId="019DAC11" w:rsidR="00202D8B" w:rsidRDefault="00202D8B" w:rsidP="00202D8B">
      <w:pPr>
        <w:pStyle w:val="NormalWeb"/>
        <w:rPr>
          <w:rFonts w:ascii="TimesNewRomanPS" w:hAnsi="TimesNewRomanPS"/>
        </w:rPr>
      </w:pPr>
      <w:r>
        <w:rPr>
          <w:rFonts w:ascii="TimesNewRomanPS" w:hAnsi="TimesNewRomanPS"/>
        </w:rPr>
        <w:t>In the case of cross-sector long-duration storage, the energy rating of the storage is undefined, so the duration is undefined. However, the effective storage capability may be huge.  For example, the very large amount of fertilizer may be made and then stored in a warehouse on its way to being sold or at a customer’s site after being sold. Or, in the case</w:t>
      </w:r>
      <w:r w:rsidR="006265EE">
        <w:rPr>
          <w:rFonts w:ascii="TimesNewRomanPS" w:hAnsi="TimesNewRomanPS"/>
        </w:rPr>
        <w:t xml:space="preserve"> of</w:t>
      </w:r>
      <w:r>
        <w:rPr>
          <w:rFonts w:ascii="TimesNewRomanPS" w:hAnsi="TimesNewRomanPS"/>
        </w:rPr>
        <w:t xml:space="preserve"> the landfill</w:t>
      </w:r>
      <w:r w:rsidR="006265EE">
        <w:rPr>
          <w:rFonts w:ascii="TimesNewRomanPS" w:hAnsi="TimesNewRomanPS"/>
        </w:rPr>
        <w:t>, biogas</w:t>
      </w:r>
      <w:r>
        <w:rPr>
          <w:rFonts w:ascii="TimesNewRomanPS" w:hAnsi="TimesNewRomanPS"/>
        </w:rPr>
        <w:t xml:space="preserve"> may flow through a pipeline to a</w:t>
      </w:r>
      <w:r w:rsidR="006265EE">
        <w:rPr>
          <w:rFonts w:ascii="TimesNewRomanPS" w:hAnsi="TimesNewRomanPS"/>
        </w:rPr>
        <w:t xml:space="preserve"> central</w:t>
      </w:r>
      <w:r>
        <w:rPr>
          <w:rFonts w:ascii="TimesNewRomanPS" w:hAnsi="TimesNewRomanPS"/>
        </w:rPr>
        <w:t xml:space="preserve"> storage site, which is then connected to a pipeline that can later deliver the biogas to the electricity generator.</w:t>
      </w:r>
    </w:p>
    <w:p w14:paraId="736563C8" w14:textId="2391E7BA" w:rsidR="00882BFE" w:rsidRDefault="00882BFE" w:rsidP="00202D8B">
      <w:pPr>
        <w:pStyle w:val="NormalWeb"/>
        <w:rPr>
          <w:rFonts w:ascii="TimesNewRomanPS" w:hAnsi="TimesNewRomanPS"/>
        </w:rPr>
      </w:pPr>
      <w:r>
        <w:rPr>
          <w:rFonts w:ascii="TimesNewRomanPS" w:hAnsi="TimesNewRomanPS"/>
        </w:rPr>
        <w:t xml:space="preserve">It is interesting to note that hydrogen could be used in either a self-contained storage system (with on-site storage mechanism for hydrogen) or a cross-sector storage system. </w:t>
      </w:r>
    </w:p>
    <w:p w14:paraId="00A874CA" w14:textId="0B576AE4" w:rsidR="00202D8B" w:rsidRDefault="00202D8B" w:rsidP="00202D8B">
      <w:pPr>
        <w:pStyle w:val="NormalWeb"/>
        <w:rPr>
          <w:rFonts w:ascii="TimesNewRomanPS" w:hAnsi="TimesNewRomanPS"/>
        </w:rPr>
      </w:pPr>
      <w:r>
        <w:rPr>
          <w:rFonts w:ascii="TimesNewRomanPS" w:hAnsi="TimesNewRomanPS"/>
        </w:rPr>
        <w:lastRenderedPageBreak/>
        <w:t>We intend to study both “</w:t>
      </w:r>
      <w:r w:rsidR="006265EE">
        <w:rPr>
          <w:rFonts w:ascii="TimesNewRomanPS" w:hAnsi="TimesNewRomanPS"/>
        </w:rPr>
        <w:t>s</w:t>
      </w:r>
      <w:r>
        <w:rPr>
          <w:rFonts w:ascii="TimesNewRomanPS" w:hAnsi="TimesNewRomanPS"/>
        </w:rPr>
        <w:t xml:space="preserve">elf-contained </w:t>
      </w:r>
      <w:r w:rsidR="006265EE">
        <w:rPr>
          <w:rFonts w:ascii="TimesNewRomanPS" w:hAnsi="TimesNewRomanPS"/>
        </w:rPr>
        <w:t>l</w:t>
      </w:r>
      <w:r>
        <w:rPr>
          <w:rFonts w:ascii="TimesNewRomanPS" w:hAnsi="TimesNewRomanPS"/>
        </w:rPr>
        <w:t>ong-duration storage” and “</w:t>
      </w:r>
      <w:r w:rsidR="006265EE">
        <w:rPr>
          <w:rFonts w:ascii="TimesNewRomanPS" w:hAnsi="TimesNewRomanPS"/>
        </w:rPr>
        <w:t>c</w:t>
      </w:r>
      <w:r>
        <w:rPr>
          <w:rFonts w:ascii="TimesNewRomanPS" w:hAnsi="TimesNewRomanPS"/>
        </w:rPr>
        <w:t xml:space="preserve">ross-sector </w:t>
      </w:r>
      <w:r w:rsidR="006265EE">
        <w:rPr>
          <w:rFonts w:ascii="TimesNewRomanPS" w:hAnsi="TimesNewRomanPS"/>
        </w:rPr>
        <w:t>l</w:t>
      </w:r>
      <w:r>
        <w:rPr>
          <w:rFonts w:ascii="TimesNewRomanPS" w:hAnsi="TimesNewRomanPS"/>
        </w:rPr>
        <w:t>ong-duration storage” as part of this project</w:t>
      </w:r>
      <w:r w:rsidR="006265EE">
        <w:rPr>
          <w:rFonts w:ascii="TimesNewRomanPS" w:hAnsi="TimesNewRomanPS"/>
        </w:rPr>
        <w:t>, though we must model them in different ways</w:t>
      </w:r>
      <w:r>
        <w:rPr>
          <w:rFonts w:ascii="TimesNewRomanPS" w:hAnsi="TimesNewRomanPS"/>
        </w:rPr>
        <w:t>.</w:t>
      </w:r>
      <w:r w:rsidR="006265EE">
        <w:rPr>
          <w:rFonts w:ascii="TimesNewRomanPS" w:hAnsi="TimesNewRomanPS"/>
        </w:rPr>
        <w:t xml:space="preserve"> We note that it is common to hear “long-duration storage” in reference to “self-contained long-duration storage.” We have found that referring to “cross-sector long-duration storage” as “long-duration storage” confuses many people since the energy system that a customer might purchase usually does not include the storage itself.</w:t>
      </w:r>
      <w:r w:rsidR="007634C5">
        <w:rPr>
          <w:rFonts w:ascii="TimesNewRomanPS" w:hAnsi="TimesNewRomanPS"/>
        </w:rPr>
        <w:t xml:space="preserve"> The community may be well served to agree upon terminology that can both differentiate the technologies and be inclusive.</w:t>
      </w:r>
    </w:p>
    <w:p w14:paraId="07CCC963" w14:textId="0481E7CB" w:rsidR="00785D40" w:rsidRPr="00785D40" w:rsidRDefault="00785D40" w:rsidP="00202D8B">
      <w:pPr>
        <w:pStyle w:val="NormalWeb"/>
        <w:rPr>
          <w:rFonts w:ascii="TimesNewRomanPS" w:hAnsi="TimesNewRomanPS"/>
          <w:i/>
          <w:iCs/>
        </w:rPr>
      </w:pPr>
      <w:r w:rsidRPr="00785D40">
        <w:rPr>
          <w:rFonts w:ascii="TimesNewRomanPS" w:hAnsi="TimesNewRomanPS"/>
          <w:i/>
          <w:iCs/>
        </w:rPr>
        <w:t>Differentiation of short-duration and long-duration storage</w:t>
      </w:r>
    </w:p>
    <w:p w14:paraId="1B5E2000" w14:textId="22CF5A6D" w:rsidR="00A632B2" w:rsidRDefault="000051FE" w:rsidP="00202D8B">
      <w:pPr>
        <w:pStyle w:val="NormalWeb"/>
        <w:rPr>
          <w:rFonts w:ascii="TimesNewRomanPS" w:hAnsi="TimesNewRomanPS"/>
        </w:rPr>
      </w:pPr>
      <w:r>
        <w:rPr>
          <w:rFonts w:ascii="TimesNewRomanPS" w:hAnsi="TimesNewRomanPS"/>
        </w:rPr>
        <w:t xml:space="preserve">The second point of confusion is often differentiating short-duration storage from long-duration storage. </w:t>
      </w:r>
      <w:r w:rsidR="00B9119F">
        <w:rPr>
          <w:rFonts w:ascii="TimesNewRomanPS" w:hAnsi="TimesNewRomanPS"/>
        </w:rPr>
        <w:t>Fundamentally, the distinguishing feature of “</w:t>
      </w:r>
      <w:r>
        <w:rPr>
          <w:rFonts w:ascii="TimesNewRomanPS" w:hAnsi="TimesNewRomanPS"/>
        </w:rPr>
        <w:t>s</w:t>
      </w:r>
      <w:r w:rsidR="00B9119F">
        <w:rPr>
          <w:rFonts w:ascii="TimesNewRomanPS" w:hAnsi="TimesNewRomanPS"/>
        </w:rPr>
        <w:t xml:space="preserve">elf-contained </w:t>
      </w:r>
      <w:r>
        <w:rPr>
          <w:rFonts w:ascii="TimesNewRomanPS" w:hAnsi="TimesNewRomanPS"/>
        </w:rPr>
        <w:t>l</w:t>
      </w:r>
      <w:r w:rsidR="00B9119F">
        <w:rPr>
          <w:rFonts w:ascii="TimesNewRomanPS" w:hAnsi="TimesNewRomanPS"/>
        </w:rPr>
        <w:t>ong-duration storage” is the ability to scale the energy rating of the system without adding much cost.</w:t>
      </w:r>
      <w:r w:rsidR="00A632B2">
        <w:rPr>
          <w:rFonts w:ascii="TimesNewRomanPS" w:hAnsi="TimesNewRomanPS"/>
        </w:rPr>
        <w:t xml:space="preserve"> Short-duration storage systems typically have costs dominated by the energy-related costs, while long-duration storage costs benefit from low energy-related costs, as shown in Fig. 4. </w:t>
      </w:r>
    </w:p>
    <w:p w14:paraId="7084BA1F" w14:textId="77777777" w:rsidR="00A632B2" w:rsidRDefault="00A632B2" w:rsidP="00202D8B">
      <w:pPr>
        <w:pStyle w:val="NormalWeb"/>
        <w:rPr>
          <w:rFonts w:ascii="TimesNewRomanPS" w:hAnsi="TimesNewRomanPS"/>
        </w:rPr>
      </w:pPr>
      <w:r w:rsidRPr="00A632B2">
        <w:rPr>
          <w:rFonts w:ascii="TimesNewRomanPS" w:hAnsi="TimesNewRomanPS"/>
          <w:noProof/>
        </w:rPr>
        <w:drawing>
          <wp:inline distT="0" distB="0" distL="0" distR="0" wp14:anchorId="36496C72" wp14:editId="39D22183">
            <wp:extent cx="5016500" cy="264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016500" cy="2641600"/>
                    </a:xfrm>
                    <a:prstGeom prst="rect">
                      <a:avLst/>
                    </a:prstGeom>
                  </pic:spPr>
                </pic:pic>
              </a:graphicData>
            </a:graphic>
          </wp:inline>
        </w:drawing>
      </w:r>
    </w:p>
    <w:p w14:paraId="402A94F0" w14:textId="6DE1EDB6" w:rsidR="00202D8B" w:rsidRDefault="00A632B2" w:rsidP="00202D8B">
      <w:pPr>
        <w:pStyle w:val="NormalWeb"/>
        <w:rPr>
          <w:rFonts w:ascii="TimesNewRomanPS" w:hAnsi="TimesNewRomanPS"/>
        </w:rPr>
      </w:pPr>
      <w:r>
        <w:rPr>
          <w:rFonts w:ascii="TimesNewRomanPS" w:hAnsi="TimesNewRomanPS"/>
        </w:rPr>
        <w:t xml:space="preserve">Figure 4. Cost </w:t>
      </w:r>
      <w:r w:rsidR="000051FE">
        <w:rPr>
          <w:rFonts w:ascii="TimesNewRomanPS" w:hAnsi="TimesNewRomanPS"/>
        </w:rPr>
        <w:t xml:space="preserve">per installed kWh </w:t>
      </w:r>
      <w:r>
        <w:rPr>
          <w:rFonts w:ascii="TimesNewRomanPS" w:hAnsi="TimesNewRomanPS"/>
        </w:rPr>
        <w:t>of 1-kW self-contained long-duration storage system as a function of the energy rating for three example cost structures, contrasting a system with low power-related costs</w:t>
      </w:r>
      <w:r w:rsidR="000051FE">
        <w:rPr>
          <w:rFonts w:ascii="TimesNewRomanPS" w:hAnsi="TimesNewRomanPS"/>
        </w:rPr>
        <w:t xml:space="preserve"> (red dashed line)</w:t>
      </w:r>
      <w:r>
        <w:rPr>
          <w:rFonts w:ascii="TimesNewRomanPS" w:hAnsi="TimesNewRomanPS"/>
        </w:rPr>
        <w:t xml:space="preserve"> relative to one with low energy-related costs</w:t>
      </w:r>
      <w:r w:rsidR="000051FE">
        <w:rPr>
          <w:rFonts w:ascii="TimesNewRomanPS" w:hAnsi="TimesNewRomanPS"/>
        </w:rPr>
        <w:t xml:space="preserve"> (lower black line)</w:t>
      </w:r>
      <w:r>
        <w:rPr>
          <w:rFonts w:ascii="TimesNewRomanPS" w:hAnsi="TimesNewRomanPS"/>
        </w:rPr>
        <w:t xml:space="preserve">.  </w:t>
      </w:r>
    </w:p>
    <w:p w14:paraId="472E89CC" w14:textId="0F69585B" w:rsidR="00882BFE" w:rsidRDefault="00A632B2" w:rsidP="00202D8B">
      <w:pPr>
        <w:pStyle w:val="NormalWeb"/>
        <w:rPr>
          <w:rFonts w:ascii="TimesNewRomanPS" w:hAnsi="TimesNewRomanPS"/>
        </w:rPr>
      </w:pPr>
      <w:r>
        <w:rPr>
          <w:rFonts w:ascii="TimesNewRomanPS" w:hAnsi="TimesNewRomanPS"/>
        </w:rPr>
        <w:t>The cost of a lithium-ion battery tends to scale mostly with the energy rating, which is typically proportional to the area of the electrochemical interface.</w:t>
      </w:r>
      <w:r w:rsidR="00555240">
        <w:rPr>
          <w:rFonts w:ascii="TimesNewRomanPS" w:hAnsi="TimesNewRomanPS"/>
        </w:rPr>
        <w:t xml:space="preserve"> On the other hand, most self-contained, long-duration storage technologies successfully decouple the costs for the power and energy using a fairly inexpensive means for scaling the energy storage capability. Examples include large tanks of electrolyte for flow batteries, large reservoirs for pumped hydro, beds of rocks for thermal storage</w:t>
      </w:r>
      <w:r w:rsidR="000051FE">
        <w:rPr>
          <w:rFonts w:ascii="TimesNewRomanPS" w:hAnsi="TimesNewRomanPS"/>
        </w:rPr>
        <w:t>,</w:t>
      </w:r>
      <w:r w:rsidR="00555240">
        <w:rPr>
          <w:rFonts w:ascii="TimesNewRomanPS" w:hAnsi="TimesNewRomanPS"/>
        </w:rPr>
        <w:t xml:space="preserve"> and cryogenic tanks for liquid air.</w:t>
      </w:r>
    </w:p>
    <w:p w14:paraId="0E66CC01" w14:textId="22CC6AEA" w:rsidR="00011674" w:rsidRPr="00011674" w:rsidRDefault="00011674" w:rsidP="00202D8B">
      <w:pPr>
        <w:pStyle w:val="NormalWeb"/>
        <w:rPr>
          <w:rFonts w:ascii="TimesNewRomanPS" w:hAnsi="TimesNewRomanPS"/>
          <w:i/>
          <w:iCs/>
        </w:rPr>
      </w:pPr>
      <w:r>
        <w:rPr>
          <w:rFonts w:ascii="TimesNewRomanPS" w:hAnsi="TimesNewRomanPS"/>
          <w:i/>
          <w:iCs/>
        </w:rPr>
        <w:t>D</w:t>
      </w:r>
      <w:r w:rsidRPr="00011674">
        <w:rPr>
          <w:rFonts w:ascii="TimesNewRomanPS" w:hAnsi="TimesNewRomanPS"/>
          <w:i/>
          <w:iCs/>
        </w:rPr>
        <w:t xml:space="preserve">ifferent types of storage </w:t>
      </w:r>
      <w:r>
        <w:rPr>
          <w:rFonts w:ascii="TimesNewRomanPS" w:hAnsi="TimesNewRomanPS"/>
          <w:i/>
          <w:iCs/>
        </w:rPr>
        <w:t>for</w:t>
      </w:r>
      <w:r w:rsidRPr="00011674">
        <w:rPr>
          <w:rFonts w:ascii="TimesNewRomanPS" w:hAnsi="TimesNewRomanPS"/>
          <w:i/>
          <w:iCs/>
        </w:rPr>
        <w:t xml:space="preserve"> different </w:t>
      </w:r>
      <w:r>
        <w:rPr>
          <w:rFonts w:ascii="TimesNewRomanPS" w:hAnsi="TimesNewRomanPS"/>
          <w:i/>
          <w:iCs/>
        </w:rPr>
        <w:t>durations</w:t>
      </w:r>
      <w:r w:rsidRPr="00011674">
        <w:rPr>
          <w:rFonts w:ascii="TimesNewRomanPS" w:hAnsi="TimesNewRomanPS"/>
          <w:i/>
          <w:iCs/>
        </w:rPr>
        <w:t xml:space="preserve"> </w:t>
      </w:r>
    </w:p>
    <w:p w14:paraId="15A1700E" w14:textId="0FF6E974" w:rsidR="00E65389" w:rsidRDefault="00E65389" w:rsidP="00202D8B">
      <w:pPr>
        <w:pStyle w:val="NormalWeb"/>
        <w:rPr>
          <w:rFonts w:ascii="TimesNewRomanPS" w:hAnsi="TimesNewRomanPS"/>
        </w:rPr>
      </w:pPr>
      <w:r>
        <w:rPr>
          <w:rFonts w:ascii="TimesNewRomanPS" w:hAnsi="TimesNewRomanPS"/>
        </w:rPr>
        <w:lastRenderedPageBreak/>
        <w:t xml:space="preserve">Short-duration storage, self-contained long-duration storage and cross-sector long-duration storage are differentiated by the roles they play as quantified by the minimum discharge duration time, as shown in Figure 5.  The cross-sector long-duration storage technologies will be needed to address the seasonal needs whether by using a chemical </w:t>
      </w:r>
      <w:r w:rsidR="00882BFE">
        <w:rPr>
          <w:rFonts w:ascii="TimesNewRomanPS" w:hAnsi="TimesNewRomanPS"/>
        </w:rPr>
        <w:t>fuel to generate zero-carbon electricity in the winter or overbuilding wind and solar so that there is no season that experiences long-term shortages.</w:t>
      </w:r>
    </w:p>
    <w:p w14:paraId="57E1FF18" w14:textId="0FA9A4A6" w:rsidR="004B6E60" w:rsidRDefault="00E65389" w:rsidP="00202D8B">
      <w:pPr>
        <w:pStyle w:val="NormalWeb"/>
        <w:rPr>
          <w:rFonts w:ascii="TimesNewRomanPS" w:hAnsi="TimesNewRomanPS"/>
        </w:rPr>
      </w:pPr>
      <w:r w:rsidRPr="00E65389">
        <w:rPr>
          <w:rFonts w:ascii="TimesNewRomanPS" w:hAnsi="TimesNewRomanPS"/>
          <w:noProof/>
        </w:rPr>
        <w:drawing>
          <wp:inline distT="0" distB="0" distL="0" distR="0" wp14:anchorId="7A1E27DA" wp14:editId="174A9C44">
            <wp:extent cx="5943600" cy="36537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653790"/>
                    </a:xfrm>
                    <a:prstGeom prst="rect">
                      <a:avLst/>
                    </a:prstGeom>
                  </pic:spPr>
                </pic:pic>
              </a:graphicData>
            </a:graphic>
          </wp:inline>
        </w:drawing>
      </w:r>
    </w:p>
    <w:p w14:paraId="028B9039" w14:textId="7F214F70" w:rsidR="00E65389" w:rsidRDefault="00E65389" w:rsidP="00202D8B">
      <w:pPr>
        <w:pStyle w:val="NormalWeb"/>
        <w:rPr>
          <w:rFonts w:ascii="TimesNewRomanPS" w:hAnsi="TimesNewRomanPS"/>
        </w:rPr>
      </w:pPr>
      <w:r>
        <w:rPr>
          <w:rFonts w:ascii="TimesNewRomanPS" w:hAnsi="TimesNewRomanPS"/>
        </w:rPr>
        <w:t>Figure 5. Differentiation of storage applications and types as a function of minimum discharge duration.</w:t>
      </w:r>
    </w:p>
    <w:p w14:paraId="30AF1A59" w14:textId="2190AA4A" w:rsidR="00E73122" w:rsidRDefault="00E73122" w:rsidP="00202D8B">
      <w:pPr>
        <w:pStyle w:val="NormalWeb"/>
        <w:rPr>
          <w:rFonts w:ascii="TimesNewRomanPS" w:hAnsi="TimesNewRomanPS"/>
        </w:rPr>
      </w:pPr>
      <w:r>
        <w:rPr>
          <w:rFonts w:ascii="TimesNewRomanPS" w:hAnsi="TimesNewRomanPS"/>
        </w:rPr>
        <w:t xml:space="preserve">In this context, a key message from the workshop participants was that they want cross-sector long-duration storage included in the studies. While there is general agreement to include cross-sector long-duration storage in the study, we lack consensus on the terminology. </w:t>
      </w:r>
      <w:r w:rsidR="00011674">
        <w:rPr>
          <w:rFonts w:ascii="TimesNewRomanPS" w:hAnsi="TimesNewRomanPS"/>
        </w:rPr>
        <w:t>We propose to start our next public workshop with Figures 3-5 to help establish a common terminology to improve communication.</w:t>
      </w:r>
    </w:p>
    <w:p w14:paraId="3892EFA1" w14:textId="3BD6BB69" w:rsidR="00E73122" w:rsidRPr="00E73122" w:rsidRDefault="00E73122" w:rsidP="00202D8B">
      <w:pPr>
        <w:pStyle w:val="NormalWeb"/>
        <w:rPr>
          <w:rFonts w:ascii="TimesNewRomanPS" w:hAnsi="TimesNewRomanPS"/>
          <w:b/>
          <w:bCs/>
        </w:rPr>
      </w:pPr>
      <w:r w:rsidRPr="00E73122">
        <w:rPr>
          <w:rFonts w:ascii="TimesNewRomanPS" w:hAnsi="TimesNewRomanPS"/>
          <w:b/>
          <w:bCs/>
        </w:rPr>
        <w:t>Follow-up conversations</w:t>
      </w:r>
    </w:p>
    <w:p w14:paraId="37E088F5" w14:textId="64259505" w:rsidR="00E73122" w:rsidRDefault="00E73122" w:rsidP="00202D8B">
      <w:pPr>
        <w:pStyle w:val="NormalWeb"/>
        <w:rPr>
          <w:rFonts w:ascii="TimesNewRomanPS" w:hAnsi="TimesNewRomanPS"/>
        </w:rPr>
      </w:pPr>
      <w:r>
        <w:rPr>
          <w:rFonts w:ascii="TimesNewRomanPS" w:hAnsi="TimesNewRomanPS"/>
        </w:rPr>
        <w:t>After the public workshop, a number of private conversations were scheduled including:</w:t>
      </w:r>
    </w:p>
    <w:p w14:paraId="05082276" w14:textId="7DBA0369" w:rsidR="00E73122" w:rsidRDefault="00E73122" w:rsidP="00202D8B">
      <w:pPr>
        <w:pStyle w:val="NormalWeb"/>
        <w:rPr>
          <w:rFonts w:ascii="TimesNewRomanPS" w:hAnsi="TimesNewRomanPS"/>
        </w:rPr>
      </w:pPr>
      <w:r>
        <w:rPr>
          <w:rFonts w:ascii="TimesNewRomanPS" w:hAnsi="TimesNewRomanPS"/>
        </w:rPr>
        <w:t>Discussion with Julia Levin about biogas and biomass highlighting</w:t>
      </w:r>
      <w:r w:rsidR="00382E9F">
        <w:rPr>
          <w:rFonts w:ascii="TimesNewRomanPS" w:hAnsi="TimesNewRomanPS"/>
        </w:rPr>
        <w:t>:</w:t>
      </w:r>
    </w:p>
    <w:p w14:paraId="10D2BDA8" w14:textId="773C063D" w:rsidR="00E73122" w:rsidRDefault="00E73122" w:rsidP="00E73122">
      <w:pPr>
        <w:pStyle w:val="NormalWeb"/>
        <w:numPr>
          <w:ilvl w:val="0"/>
          <w:numId w:val="11"/>
        </w:numPr>
        <w:rPr>
          <w:rFonts w:ascii="TimesNewRomanPS" w:hAnsi="TimesNewRomanPS"/>
        </w:rPr>
      </w:pPr>
      <w:r>
        <w:rPr>
          <w:rFonts w:ascii="TimesNewRomanPS" w:hAnsi="TimesNewRomanPS"/>
        </w:rPr>
        <w:t>The potential</w:t>
      </w:r>
      <w:r w:rsidR="00382E9F">
        <w:rPr>
          <w:rFonts w:ascii="TimesNewRomanPS" w:hAnsi="TimesNewRomanPS"/>
        </w:rPr>
        <w:t xml:space="preserve"> availability of biogas and biomass</w:t>
      </w:r>
      <w:r>
        <w:rPr>
          <w:rFonts w:ascii="TimesNewRomanPS" w:hAnsi="TimesNewRomanPS"/>
        </w:rPr>
        <w:t xml:space="preserve"> has been underestimated </w:t>
      </w:r>
    </w:p>
    <w:p w14:paraId="1E708A43" w14:textId="77777777" w:rsidR="00E73122" w:rsidRDefault="00E73122" w:rsidP="00E73122">
      <w:pPr>
        <w:pStyle w:val="NormalWeb"/>
        <w:numPr>
          <w:ilvl w:val="0"/>
          <w:numId w:val="11"/>
        </w:numPr>
        <w:rPr>
          <w:rFonts w:ascii="TimesNewRomanPS" w:hAnsi="TimesNewRomanPS"/>
        </w:rPr>
      </w:pPr>
      <w:r>
        <w:rPr>
          <w:rFonts w:ascii="TimesNewRomanPS" w:hAnsi="TimesNewRomanPS"/>
        </w:rPr>
        <w:lastRenderedPageBreak/>
        <w:t>Clearing of biomass from forests would not only provide energy as a form of cross-sector long-duration storage, but would also decrease wildfires</w:t>
      </w:r>
    </w:p>
    <w:p w14:paraId="69CC303D" w14:textId="77777777" w:rsidR="00E73122" w:rsidRDefault="00E73122" w:rsidP="00E73122">
      <w:pPr>
        <w:pStyle w:val="NormalWeb"/>
        <w:numPr>
          <w:ilvl w:val="0"/>
          <w:numId w:val="11"/>
        </w:numPr>
        <w:rPr>
          <w:rFonts w:ascii="TimesNewRomanPS" w:hAnsi="TimesNewRomanPS"/>
        </w:rPr>
      </w:pPr>
      <w:r>
        <w:rPr>
          <w:rFonts w:ascii="TimesNewRomanPS" w:hAnsi="TimesNewRomanPS"/>
        </w:rPr>
        <w:t>Extensive infrastructure to capture biogas from waste would decrease release of methane, which is a more potent green-house gas than carbon dioxide.</w:t>
      </w:r>
    </w:p>
    <w:p w14:paraId="46A1A66D" w14:textId="0BCAD1D3" w:rsidR="00C84771" w:rsidRDefault="00E73122" w:rsidP="00E73122">
      <w:pPr>
        <w:pStyle w:val="NormalWeb"/>
        <w:rPr>
          <w:rFonts w:ascii="TimesNewRomanPS" w:hAnsi="TimesNewRomanPS"/>
        </w:rPr>
      </w:pPr>
      <w:r>
        <w:rPr>
          <w:rFonts w:ascii="TimesNewRomanPS" w:hAnsi="TimesNewRomanPS"/>
        </w:rPr>
        <w:t xml:space="preserve">A meeting with Robin </w:t>
      </w:r>
      <w:r w:rsidR="00C84771">
        <w:rPr>
          <w:rFonts w:ascii="TimesNewRomanPS" w:hAnsi="TimesNewRomanPS"/>
        </w:rPr>
        <w:t>Goodhand has been scheduled</w:t>
      </w:r>
      <w:r w:rsidR="00382E9F">
        <w:rPr>
          <w:rFonts w:ascii="TimesNewRomanPS" w:hAnsi="TimesNewRomanPS"/>
        </w:rPr>
        <w:t xml:space="preserve"> in January</w:t>
      </w:r>
      <w:r w:rsidR="00C84771">
        <w:rPr>
          <w:rFonts w:ascii="TimesNewRomanPS" w:hAnsi="TimesNewRomanPS"/>
        </w:rPr>
        <w:t>.</w:t>
      </w:r>
    </w:p>
    <w:p w14:paraId="70A7BCF4" w14:textId="0E4593F9" w:rsidR="00E73122" w:rsidRDefault="00C84771" w:rsidP="00E73122">
      <w:pPr>
        <w:pStyle w:val="NormalWeb"/>
        <w:rPr>
          <w:rFonts w:ascii="TimesNewRomanPS" w:hAnsi="TimesNewRomanPS"/>
        </w:rPr>
      </w:pPr>
      <w:r>
        <w:rPr>
          <w:rFonts w:ascii="TimesNewRomanPS" w:hAnsi="TimesNewRomanPS"/>
        </w:rPr>
        <w:t xml:space="preserve">Julia Prochnik is scheduling </w:t>
      </w:r>
      <w:r w:rsidR="00440BB6">
        <w:rPr>
          <w:rFonts w:ascii="TimesNewRomanPS" w:hAnsi="TimesNewRomanPS"/>
        </w:rPr>
        <w:t xml:space="preserve">follow-up </w:t>
      </w:r>
      <w:r>
        <w:rPr>
          <w:rFonts w:ascii="TimesNewRomanPS" w:hAnsi="TimesNewRomanPS"/>
        </w:rPr>
        <w:t>meetings with</w:t>
      </w:r>
      <w:r w:rsidR="00440BB6">
        <w:rPr>
          <w:rFonts w:ascii="TimesNewRomanPS" w:hAnsi="TimesNewRomanPS"/>
        </w:rPr>
        <w:t>:</w:t>
      </w:r>
    </w:p>
    <w:p w14:paraId="1E4A80E4" w14:textId="732F7B29" w:rsidR="00440BB6" w:rsidRDefault="00440BB6" w:rsidP="00440BB6">
      <w:pPr>
        <w:pStyle w:val="NormalWeb"/>
        <w:numPr>
          <w:ilvl w:val="0"/>
          <w:numId w:val="12"/>
        </w:numPr>
        <w:rPr>
          <w:rFonts w:ascii="TimesNewRomanPS" w:hAnsi="TimesNewRomanPS"/>
        </w:rPr>
      </w:pPr>
      <w:r>
        <w:rPr>
          <w:rFonts w:ascii="TimesNewRomanPS" w:hAnsi="TimesNewRomanPS"/>
        </w:rPr>
        <w:t>HighView Power</w:t>
      </w:r>
    </w:p>
    <w:p w14:paraId="7F94D405" w14:textId="185F4EF1" w:rsidR="00440BB6" w:rsidRDefault="00440BB6" w:rsidP="00440BB6">
      <w:pPr>
        <w:pStyle w:val="NormalWeb"/>
        <w:numPr>
          <w:ilvl w:val="0"/>
          <w:numId w:val="12"/>
        </w:numPr>
        <w:rPr>
          <w:rFonts w:ascii="TimesNewRomanPS" w:hAnsi="TimesNewRomanPS"/>
        </w:rPr>
      </w:pPr>
      <w:r>
        <w:rPr>
          <w:rFonts w:ascii="TimesNewRomanPS" w:hAnsi="TimesNewRomanPS"/>
        </w:rPr>
        <w:t>CatCreekEnergy</w:t>
      </w:r>
    </w:p>
    <w:p w14:paraId="1B643172" w14:textId="4D90382C" w:rsidR="00440BB6" w:rsidRDefault="00440BB6" w:rsidP="00440BB6">
      <w:pPr>
        <w:pStyle w:val="NormalWeb"/>
        <w:numPr>
          <w:ilvl w:val="0"/>
          <w:numId w:val="12"/>
        </w:numPr>
        <w:rPr>
          <w:rFonts w:ascii="TimesNewRomanPS" w:hAnsi="TimesNewRomanPS"/>
        </w:rPr>
      </w:pPr>
      <w:r>
        <w:rPr>
          <w:rFonts w:ascii="TimesNewRomanPS" w:hAnsi="TimesNewRomanPS"/>
        </w:rPr>
        <w:t>CSP+Thermal</w:t>
      </w:r>
    </w:p>
    <w:p w14:paraId="30C7CBC6" w14:textId="455DC1E3" w:rsidR="00440BB6" w:rsidRDefault="00440BB6" w:rsidP="00440BB6">
      <w:pPr>
        <w:pStyle w:val="NormalWeb"/>
        <w:numPr>
          <w:ilvl w:val="0"/>
          <w:numId w:val="12"/>
        </w:numPr>
        <w:rPr>
          <w:rFonts w:ascii="TimesNewRomanPS" w:hAnsi="TimesNewRomanPS"/>
        </w:rPr>
      </w:pPr>
      <w:r>
        <w:rPr>
          <w:rFonts w:ascii="TimesNewRomanPS" w:hAnsi="TimesNewRomanPS"/>
        </w:rPr>
        <w:t>Zinc8</w:t>
      </w:r>
    </w:p>
    <w:p w14:paraId="38E3F3BD" w14:textId="77777777" w:rsidR="00440BB6" w:rsidRDefault="00440BB6" w:rsidP="00440BB6">
      <w:pPr>
        <w:pStyle w:val="NormalWeb"/>
        <w:rPr>
          <w:rFonts w:ascii="TimesNewRomanPS" w:hAnsi="TimesNewRomanPS"/>
        </w:rPr>
      </w:pPr>
    </w:p>
    <w:p w14:paraId="3BF175E5" w14:textId="489288B2" w:rsidR="00C270E0" w:rsidRDefault="00E73122" w:rsidP="00202D8B">
      <w:pPr>
        <w:pStyle w:val="NormalWeb"/>
        <w:rPr>
          <w:rFonts w:ascii="TimesNewRomanPS" w:hAnsi="TimesNewRomanPS"/>
        </w:rPr>
      </w:pPr>
      <w:r>
        <w:rPr>
          <w:rFonts w:ascii="TimesNewRomanPS" w:hAnsi="TimesNewRomanPS"/>
        </w:rPr>
        <w:t xml:space="preserve"> </w:t>
      </w:r>
    </w:p>
    <w:p w14:paraId="1C03EF82" w14:textId="77777777" w:rsidR="00C270E0" w:rsidRPr="00785D2C" w:rsidRDefault="00C270E0" w:rsidP="00202D8B">
      <w:pPr>
        <w:pStyle w:val="NormalWeb"/>
        <w:rPr>
          <w:rFonts w:ascii="TimesNewRomanPS" w:hAnsi="TimesNewRomanPS"/>
        </w:rPr>
      </w:pPr>
    </w:p>
    <w:sectPr w:rsidR="00C270E0" w:rsidRPr="00785D2C" w:rsidSect="00D50AC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BB102" w14:textId="77777777" w:rsidR="00A16A19" w:rsidRDefault="00A16A19" w:rsidP="00A8662F">
      <w:r>
        <w:separator/>
      </w:r>
    </w:p>
  </w:endnote>
  <w:endnote w:type="continuationSeparator" w:id="0">
    <w:p w14:paraId="115164F0" w14:textId="77777777" w:rsidR="00A16A19" w:rsidRDefault="00A16A19" w:rsidP="00A86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767442"/>
      <w:docPartObj>
        <w:docPartGallery w:val="Page Numbers (Bottom of Page)"/>
        <w:docPartUnique/>
      </w:docPartObj>
    </w:sdtPr>
    <w:sdtEndPr>
      <w:rPr>
        <w:rStyle w:val="PageNumber"/>
      </w:rPr>
    </w:sdtEndPr>
    <w:sdtContent>
      <w:p w14:paraId="2C0E031A" w14:textId="17FDE8DC" w:rsidR="009E4E90" w:rsidRDefault="009E4E90" w:rsidP="00212D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7FDB55" w14:textId="77777777" w:rsidR="009E4E90" w:rsidRDefault="009E4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6834470"/>
      <w:docPartObj>
        <w:docPartGallery w:val="Page Numbers (Bottom of Page)"/>
        <w:docPartUnique/>
      </w:docPartObj>
    </w:sdtPr>
    <w:sdtEndPr>
      <w:rPr>
        <w:rStyle w:val="PageNumber"/>
      </w:rPr>
    </w:sdtEndPr>
    <w:sdtContent>
      <w:p w14:paraId="35E57353" w14:textId="5BE83885" w:rsidR="009E4E90" w:rsidRDefault="009E4E90" w:rsidP="00212D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FF86DC" w14:textId="77777777" w:rsidR="009E4E90" w:rsidRDefault="009E4E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EDFA2" w14:textId="77777777" w:rsidR="006C5FEC" w:rsidRDefault="006C5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B1806" w14:textId="77777777" w:rsidR="00A16A19" w:rsidRDefault="00A16A19" w:rsidP="00A8662F">
      <w:r>
        <w:separator/>
      </w:r>
    </w:p>
  </w:footnote>
  <w:footnote w:type="continuationSeparator" w:id="0">
    <w:p w14:paraId="4DA6EBD8" w14:textId="77777777" w:rsidR="00A16A19" w:rsidRDefault="00A16A19" w:rsidP="00A8662F">
      <w:r>
        <w:continuationSeparator/>
      </w:r>
    </w:p>
  </w:footnote>
  <w:footnote w:id="1">
    <w:p w14:paraId="0666FE85" w14:textId="216AF95C" w:rsidR="00B23D35" w:rsidRDefault="00B23D35">
      <w:pPr>
        <w:pStyle w:val="FootnoteText"/>
      </w:pPr>
      <w:r>
        <w:rPr>
          <w:rStyle w:val="FootnoteReference"/>
        </w:rPr>
        <w:footnoteRef/>
      </w:r>
      <w:r>
        <w:t xml:space="preserve"> The power rating for the charging and discharging hardware may differ. We focus on the discharge power rating because it is more relevant to this discussion, while the power rating for the charging hardware is important for applications that require fast charging. This discussion assumes 100% efficiency for the discharging process. </w:t>
      </w:r>
      <w:r w:rsidR="00BD1377">
        <w:t>To be technically accurate, the efficiency of the power conversion should be included in the discussion.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AEC6E" w14:textId="10C577FB" w:rsidR="006C5FEC" w:rsidRDefault="00A16A19">
    <w:pPr>
      <w:pStyle w:val="Header"/>
    </w:pPr>
    <w:r>
      <w:rPr>
        <w:noProof/>
      </w:rPr>
      <w:pict w14:anchorId="0298A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761906" o:spid="_x0000_s2051"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7EC05" w14:textId="4B4410F9" w:rsidR="006C5FEC" w:rsidRDefault="00A16A19">
    <w:pPr>
      <w:pStyle w:val="Header"/>
    </w:pPr>
    <w:r>
      <w:rPr>
        <w:noProof/>
      </w:rPr>
      <w:pict w14:anchorId="0D4C0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761907" o:spid="_x0000_s2050"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0AE1E" w14:textId="2D94C564" w:rsidR="006C5FEC" w:rsidRDefault="00A16A19">
    <w:pPr>
      <w:pStyle w:val="Header"/>
    </w:pPr>
    <w:r>
      <w:rPr>
        <w:noProof/>
      </w:rPr>
      <w:pict w14:anchorId="3F656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761905" o:spid="_x0000_s2049"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C75A2"/>
    <w:multiLevelType w:val="hybridMultilevel"/>
    <w:tmpl w:val="3C306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9298E"/>
    <w:multiLevelType w:val="hybridMultilevel"/>
    <w:tmpl w:val="CFCA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E4B56"/>
    <w:multiLevelType w:val="hybridMultilevel"/>
    <w:tmpl w:val="DA8A82E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2B3F391C"/>
    <w:multiLevelType w:val="hybridMultilevel"/>
    <w:tmpl w:val="5D00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0749C"/>
    <w:multiLevelType w:val="hybridMultilevel"/>
    <w:tmpl w:val="B2527180"/>
    <w:lvl w:ilvl="0" w:tplc="CEF672C0">
      <w:start w:val="1"/>
      <w:numFmt w:val="bullet"/>
      <w:lvlText w:val="•"/>
      <w:lvlJc w:val="left"/>
      <w:pPr>
        <w:tabs>
          <w:tab w:val="num" w:pos="720"/>
        </w:tabs>
        <w:ind w:left="720" w:hanging="360"/>
      </w:pPr>
      <w:rPr>
        <w:rFonts w:ascii="Arial" w:hAnsi="Arial" w:hint="default"/>
      </w:rPr>
    </w:lvl>
    <w:lvl w:ilvl="1" w:tplc="C62AF61A" w:tentative="1">
      <w:start w:val="1"/>
      <w:numFmt w:val="bullet"/>
      <w:lvlText w:val="•"/>
      <w:lvlJc w:val="left"/>
      <w:pPr>
        <w:tabs>
          <w:tab w:val="num" w:pos="1440"/>
        </w:tabs>
        <w:ind w:left="1440" w:hanging="360"/>
      </w:pPr>
      <w:rPr>
        <w:rFonts w:ascii="Arial" w:hAnsi="Arial" w:hint="default"/>
      </w:rPr>
    </w:lvl>
    <w:lvl w:ilvl="2" w:tplc="F7147A46" w:tentative="1">
      <w:start w:val="1"/>
      <w:numFmt w:val="bullet"/>
      <w:lvlText w:val="•"/>
      <w:lvlJc w:val="left"/>
      <w:pPr>
        <w:tabs>
          <w:tab w:val="num" w:pos="2160"/>
        </w:tabs>
        <w:ind w:left="2160" w:hanging="360"/>
      </w:pPr>
      <w:rPr>
        <w:rFonts w:ascii="Arial" w:hAnsi="Arial" w:hint="default"/>
      </w:rPr>
    </w:lvl>
    <w:lvl w:ilvl="3" w:tplc="595EC45E" w:tentative="1">
      <w:start w:val="1"/>
      <w:numFmt w:val="bullet"/>
      <w:lvlText w:val="•"/>
      <w:lvlJc w:val="left"/>
      <w:pPr>
        <w:tabs>
          <w:tab w:val="num" w:pos="2880"/>
        </w:tabs>
        <w:ind w:left="2880" w:hanging="360"/>
      </w:pPr>
      <w:rPr>
        <w:rFonts w:ascii="Arial" w:hAnsi="Arial" w:hint="default"/>
      </w:rPr>
    </w:lvl>
    <w:lvl w:ilvl="4" w:tplc="0024C272" w:tentative="1">
      <w:start w:val="1"/>
      <w:numFmt w:val="bullet"/>
      <w:lvlText w:val="•"/>
      <w:lvlJc w:val="left"/>
      <w:pPr>
        <w:tabs>
          <w:tab w:val="num" w:pos="3600"/>
        </w:tabs>
        <w:ind w:left="3600" w:hanging="360"/>
      </w:pPr>
      <w:rPr>
        <w:rFonts w:ascii="Arial" w:hAnsi="Arial" w:hint="default"/>
      </w:rPr>
    </w:lvl>
    <w:lvl w:ilvl="5" w:tplc="33B075CC" w:tentative="1">
      <w:start w:val="1"/>
      <w:numFmt w:val="bullet"/>
      <w:lvlText w:val="•"/>
      <w:lvlJc w:val="left"/>
      <w:pPr>
        <w:tabs>
          <w:tab w:val="num" w:pos="4320"/>
        </w:tabs>
        <w:ind w:left="4320" w:hanging="360"/>
      </w:pPr>
      <w:rPr>
        <w:rFonts w:ascii="Arial" w:hAnsi="Arial" w:hint="default"/>
      </w:rPr>
    </w:lvl>
    <w:lvl w:ilvl="6" w:tplc="7DA49488" w:tentative="1">
      <w:start w:val="1"/>
      <w:numFmt w:val="bullet"/>
      <w:lvlText w:val="•"/>
      <w:lvlJc w:val="left"/>
      <w:pPr>
        <w:tabs>
          <w:tab w:val="num" w:pos="5040"/>
        </w:tabs>
        <w:ind w:left="5040" w:hanging="360"/>
      </w:pPr>
      <w:rPr>
        <w:rFonts w:ascii="Arial" w:hAnsi="Arial" w:hint="default"/>
      </w:rPr>
    </w:lvl>
    <w:lvl w:ilvl="7" w:tplc="BBF06742" w:tentative="1">
      <w:start w:val="1"/>
      <w:numFmt w:val="bullet"/>
      <w:lvlText w:val="•"/>
      <w:lvlJc w:val="left"/>
      <w:pPr>
        <w:tabs>
          <w:tab w:val="num" w:pos="5760"/>
        </w:tabs>
        <w:ind w:left="5760" w:hanging="360"/>
      </w:pPr>
      <w:rPr>
        <w:rFonts w:ascii="Arial" w:hAnsi="Arial" w:hint="default"/>
      </w:rPr>
    </w:lvl>
    <w:lvl w:ilvl="8" w:tplc="BC0470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9C41F0"/>
    <w:multiLevelType w:val="hybridMultilevel"/>
    <w:tmpl w:val="92A4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A0F64"/>
    <w:multiLevelType w:val="hybridMultilevel"/>
    <w:tmpl w:val="5D40D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C56A14"/>
    <w:multiLevelType w:val="hybridMultilevel"/>
    <w:tmpl w:val="8D661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591ED8"/>
    <w:multiLevelType w:val="hybridMultilevel"/>
    <w:tmpl w:val="EC4A5E2E"/>
    <w:lvl w:ilvl="0" w:tplc="2F08A044">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481681"/>
    <w:multiLevelType w:val="hybridMultilevel"/>
    <w:tmpl w:val="EA8CC4EA"/>
    <w:lvl w:ilvl="0" w:tplc="CBFE4874">
      <w:start w:val="1"/>
      <w:numFmt w:val="bullet"/>
      <w:lvlText w:val="•"/>
      <w:lvlJc w:val="left"/>
      <w:pPr>
        <w:tabs>
          <w:tab w:val="num" w:pos="720"/>
        </w:tabs>
        <w:ind w:left="720" w:hanging="360"/>
      </w:pPr>
      <w:rPr>
        <w:rFonts w:ascii="Arial" w:hAnsi="Arial" w:hint="default"/>
      </w:rPr>
    </w:lvl>
    <w:lvl w:ilvl="1" w:tplc="0352B070" w:tentative="1">
      <w:start w:val="1"/>
      <w:numFmt w:val="bullet"/>
      <w:lvlText w:val="•"/>
      <w:lvlJc w:val="left"/>
      <w:pPr>
        <w:tabs>
          <w:tab w:val="num" w:pos="1440"/>
        </w:tabs>
        <w:ind w:left="1440" w:hanging="360"/>
      </w:pPr>
      <w:rPr>
        <w:rFonts w:ascii="Arial" w:hAnsi="Arial" w:hint="default"/>
      </w:rPr>
    </w:lvl>
    <w:lvl w:ilvl="2" w:tplc="599ACB90" w:tentative="1">
      <w:start w:val="1"/>
      <w:numFmt w:val="bullet"/>
      <w:lvlText w:val="•"/>
      <w:lvlJc w:val="left"/>
      <w:pPr>
        <w:tabs>
          <w:tab w:val="num" w:pos="2160"/>
        </w:tabs>
        <w:ind w:left="2160" w:hanging="360"/>
      </w:pPr>
      <w:rPr>
        <w:rFonts w:ascii="Arial" w:hAnsi="Arial" w:hint="default"/>
      </w:rPr>
    </w:lvl>
    <w:lvl w:ilvl="3" w:tplc="F0D6EFE4" w:tentative="1">
      <w:start w:val="1"/>
      <w:numFmt w:val="bullet"/>
      <w:lvlText w:val="•"/>
      <w:lvlJc w:val="left"/>
      <w:pPr>
        <w:tabs>
          <w:tab w:val="num" w:pos="2880"/>
        </w:tabs>
        <w:ind w:left="2880" w:hanging="360"/>
      </w:pPr>
      <w:rPr>
        <w:rFonts w:ascii="Arial" w:hAnsi="Arial" w:hint="default"/>
      </w:rPr>
    </w:lvl>
    <w:lvl w:ilvl="4" w:tplc="BEE047B8" w:tentative="1">
      <w:start w:val="1"/>
      <w:numFmt w:val="bullet"/>
      <w:lvlText w:val="•"/>
      <w:lvlJc w:val="left"/>
      <w:pPr>
        <w:tabs>
          <w:tab w:val="num" w:pos="3600"/>
        </w:tabs>
        <w:ind w:left="3600" w:hanging="360"/>
      </w:pPr>
      <w:rPr>
        <w:rFonts w:ascii="Arial" w:hAnsi="Arial" w:hint="default"/>
      </w:rPr>
    </w:lvl>
    <w:lvl w:ilvl="5" w:tplc="A9EC5668" w:tentative="1">
      <w:start w:val="1"/>
      <w:numFmt w:val="bullet"/>
      <w:lvlText w:val="•"/>
      <w:lvlJc w:val="left"/>
      <w:pPr>
        <w:tabs>
          <w:tab w:val="num" w:pos="4320"/>
        </w:tabs>
        <w:ind w:left="4320" w:hanging="360"/>
      </w:pPr>
      <w:rPr>
        <w:rFonts w:ascii="Arial" w:hAnsi="Arial" w:hint="default"/>
      </w:rPr>
    </w:lvl>
    <w:lvl w:ilvl="6" w:tplc="3C5E5058" w:tentative="1">
      <w:start w:val="1"/>
      <w:numFmt w:val="bullet"/>
      <w:lvlText w:val="•"/>
      <w:lvlJc w:val="left"/>
      <w:pPr>
        <w:tabs>
          <w:tab w:val="num" w:pos="5040"/>
        </w:tabs>
        <w:ind w:left="5040" w:hanging="360"/>
      </w:pPr>
      <w:rPr>
        <w:rFonts w:ascii="Arial" w:hAnsi="Arial" w:hint="default"/>
      </w:rPr>
    </w:lvl>
    <w:lvl w:ilvl="7" w:tplc="CA024AB8" w:tentative="1">
      <w:start w:val="1"/>
      <w:numFmt w:val="bullet"/>
      <w:lvlText w:val="•"/>
      <w:lvlJc w:val="left"/>
      <w:pPr>
        <w:tabs>
          <w:tab w:val="num" w:pos="5760"/>
        </w:tabs>
        <w:ind w:left="5760" w:hanging="360"/>
      </w:pPr>
      <w:rPr>
        <w:rFonts w:ascii="Arial" w:hAnsi="Arial" w:hint="default"/>
      </w:rPr>
    </w:lvl>
    <w:lvl w:ilvl="8" w:tplc="FF7CD05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75E4EAC"/>
    <w:multiLevelType w:val="hybridMultilevel"/>
    <w:tmpl w:val="E3B67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8166B2"/>
    <w:multiLevelType w:val="hybridMultilevel"/>
    <w:tmpl w:val="3C284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4"/>
  </w:num>
  <w:num w:numId="4">
    <w:abstractNumId w:val="6"/>
  </w:num>
  <w:num w:numId="5">
    <w:abstractNumId w:val="11"/>
  </w:num>
  <w:num w:numId="6">
    <w:abstractNumId w:val="0"/>
  </w:num>
  <w:num w:numId="7">
    <w:abstractNumId w:val="5"/>
  </w:num>
  <w:num w:numId="8">
    <w:abstractNumId w:val="1"/>
  </w:num>
  <w:num w:numId="9">
    <w:abstractNumId w:val="8"/>
  </w:num>
  <w:num w:numId="10">
    <w:abstractNumId w:val="7"/>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833"/>
    <w:rsid w:val="00001191"/>
    <w:rsid w:val="000051FE"/>
    <w:rsid w:val="00011674"/>
    <w:rsid w:val="00013A42"/>
    <w:rsid w:val="000202B9"/>
    <w:rsid w:val="00020F01"/>
    <w:rsid w:val="000373AD"/>
    <w:rsid w:val="0006403E"/>
    <w:rsid w:val="000719F5"/>
    <w:rsid w:val="000771D9"/>
    <w:rsid w:val="00095F85"/>
    <w:rsid w:val="000D42AF"/>
    <w:rsid w:val="000E0901"/>
    <w:rsid w:val="000F4EE2"/>
    <w:rsid w:val="00114D62"/>
    <w:rsid w:val="00150CEF"/>
    <w:rsid w:val="00187112"/>
    <w:rsid w:val="0019310B"/>
    <w:rsid w:val="001A0F66"/>
    <w:rsid w:val="001D4034"/>
    <w:rsid w:val="001E286D"/>
    <w:rsid w:val="001E3E0C"/>
    <w:rsid w:val="001F178A"/>
    <w:rsid w:val="00202D8B"/>
    <w:rsid w:val="00204B2C"/>
    <w:rsid w:val="00212DAE"/>
    <w:rsid w:val="002354E0"/>
    <w:rsid w:val="002468EE"/>
    <w:rsid w:val="00261833"/>
    <w:rsid w:val="00286938"/>
    <w:rsid w:val="002A1CB6"/>
    <w:rsid w:val="002A5047"/>
    <w:rsid w:val="002D6B39"/>
    <w:rsid w:val="002E6792"/>
    <w:rsid w:val="002F190E"/>
    <w:rsid w:val="00306A0C"/>
    <w:rsid w:val="003111D3"/>
    <w:rsid w:val="0031650F"/>
    <w:rsid w:val="003268C1"/>
    <w:rsid w:val="003462F7"/>
    <w:rsid w:val="00347AEB"/>
    <w:rsid w:val="00347B35"/>
    <w:rsid w:val="00374E86"/>
    <w:rsid w:val="00376772"/>
    <w:rsid w:val="00382E9F"/>
    <w:rsid w:val="003911B4"/>
    <w:rsid w:val="00395EDA"/>
    <w:rsid w:val="003A076D"/>
    <w:rsid w:val="003A1AA5"/>
    <w:rsid w:val="003A47E6"/>
    <w:rsid w:val="003A6065"/>
    <w:rsid w:val="003C2A4A"/>
    <w:rsid w:val="003C7786"/>
    <w:rsid w:val="003D161E"/>
    <w:rsid w:val="003F39C7"/>
    <w:rsid w:val="003F7FDD"/>
    <w:rsid w:val="00401258"/>
    <w:rsid w:val="004034A4"/>
    <w:rsid w:val="0042679B"/>
    <w:rsid w:val="00440BB6"/>
    <w:rsid w:val="004769DD"/>
    <w:rsid w:val="004B6E60"/>
    <w:rsid w:val="004C2582"/>
    <w:rsid w:val="004E4811"/>
    <w:rsid w:val="004F6AC2"/>
    <w:rsid w:val="005067B5"/>
    <w:rsid w:val="0052770B"/>
    <w:rsid w:val="00531A2C"/>
    <w:rsid w:val="00554717"/>
    <w:rsid w:val="00555240"/>
    <w:rsid w:val="0056647B"/>
    <w:rsid w:val="005753E3"/>
    <w:rsid w:val="0058117E"/>
    <w:rsid w:val="00581E43"/>
    <w:rsid w:val="005915BB"/>
    <w:rsid w:val="00595A45"/>
    <w:rsid w:val="005B33FF"/>
    <w:rsid w:val="005B5604"/>
    <w:rsid w:val="005D0448"/>
    <w:rsid w:val="006031E5"/>
    <w:rsid w:val="006265EE"/>
    <w:rsid w:val="0063301A"/>
    <w:rsid w:val="00670066"/>
    <w:rsid w:val="00675B04"/>
    <w:rsid w:val="00687B9C"/>
    <w:rsid w:val="0069132E"/>
    <w:rsid w:val="006A1DD2"/>
    <w:rsid w:val="006A75C2"/>
    <w:rsid w:val="006C0322"/>
    <w:rsid w:val="006C5FEC"/>
    <w:rsid w:val="006C7412"/>
    <w:rsid w:val="006F4E89"/>
    <w:rsid w:val="007226DF"/>
    <w:rsid w:val="00737A9A"/>
    <w:rsid w:val="00746DF9"/>
    <w:rsid w:val="007634C5"/>
    <w:rsid w:val="00785D2C"/>
    <w:rsid w:val="00785D40"/>
    <w:rsid w:val="007B156A"/>
    <w:rsid w:val="007C6838"/>
    <w:rsid w:val="007D4D58"/>
    <w:rsid w:val="007D5DCF"/>
    <w:rsid w:val="007E159F"/>
    <w:rsid w:val="007F3EEC"/>
    <w:rsid w:val="008104A5"/>
    <w:rsid w:val="00826DA7"/>
    <w:rsid w:val="00832127"/>
    <w:rsid w:val="00870B23"/>
    <w:rsid w:val="00872E29"/>
    <w:rsid w:val="00876768"/>
    <w:rsid w:val="00882BFE"/>
    <w:rsid w:val="00883119"/>
    <w:rsid w:val="00893D70"/>
    <w:rsid w:val="008B1DE5"/>
    <w:rsid w:val="008C4BE1"/>
    <w:rsid w:val="008E42F9"/>
    <w:rsid w:val="008E5E70"/>
    <w:rsid w:val="00910E40"/>
    <w:rsid w:val="00915A64"/>
    <w:rsid w:val="00937C6C"/>
    <w:rsid w:val="0094613E"/>
    <w:rsid w:val="00961609"/>
    <w:rsid w:val="00972A79"/>
    <w:rsid w:val="00983614"/>
    <w:rsid w:val="009860E1"/>
    <w:rsid w:val="009D3743"/>
    <w:rsid w:val="009E1851"/>
    <w:rsid w:val="009E2DF5"/>
    <w:rsid w:val="009E4E90"/>
    <w:rsid w:val="00A16A19"/>
    <w:rsid w:val="00A218E6"/>
    <w:rsid w:val="00A632B2"/>
    <w:rsid w:val="00A71DE4"/>
    <w:rsid w:val="00A8662F"/>
    <w:rsid w:val="00AA0694"/>
    <w:rsid w:val="00AA2A14"/>
    <w:rsid w:val="00AB2648"/>
    <w:rsid w:val="00AB3C89"/>
    <w:rsid w:val="00AC2111"/>
    <w:rsid w:val="00AD7CF6"/>
    <w:rsid w:val="00AE0332"/>
    <w:rsid w:val="00AE4CAD"/>
    <w:rsid w:val="00AE5EE0"/>
    <w:rsid w:val="00B04EA3"/>
    <w:rsid w:val="00B22B58"/>
    <w:rsid w:val="00B23D35"/>
    <w:rsid w:val="00B36165"/>
    <w:rsid w:val="00B3717E"/>
    <w:rsid w:val="00B56D26"/>
    <w:rsid w:val="00B73093"/>
    <w:rsid w:val="00B74074"/>
    <w:rsid w:val="00B9119F"/>
    <w:rsid w:val="00BC4AB4"/>
    <w:rsid w:val="00BD1377"/>
    <w:rsid w:val="00BD1F42"/>
    <w:rsid w:val="00C15DB4"/>
    <w:rsid w:val="00C22656"/>
    <w:rsid w:val="00C258B4"/>
    <w:rsid w:val="00C270E0"/>
    <w:rsid w:val="00C36B77"/>
    <w:rsid w:val="00C526BA"/>
    <w:rsid w:val="00C82CA2"/>
    <w:rsid w:val="00C84771"/>
    <w:rsid w:val="00C872AE"/>
    <w:rsid w:val="00C97DCC"/>
    <w:rsid w:val="00CC77E5"/>
    <w:rsid w:val="00CD6D79"/>
    <w:rsid w:val="00D16DC9"/>
    <w:rsid w:val="00D303F5"/>
    <w:rsid w:val="00D31B34"/>
    <w:rsid w:val="00D47FBA"/>
    <w:rsid w:val="00D50AC4"/>
    <w:rsid w:val="00D518B2"/>
    <w:rsid w:val="00D629A4"/>
    <w:rsid w:val="00D6482D"/>
    <w:rsid w:val="00DB1E43"/>
    <w:rsid w:val="00DB3CE7"/>
    <w:rsid w:val="00DC2FB4"/>
    <w:rsid w:val="00DF1B1C"/>
    <w:rsid w:val="00E460E7"/>
    <w:rsid w:val="00E51D89"/>
    <w:rsid w:val="00E60D15"/>
    <w:rsid w:val="00E61217"/>
    <w:rsid w:val="00E65389"/>
    <w:rsid w:val="00E66CB5"/>
    <w:rsid w:val="00E73122"/>
    <w:rsid w:val="00E817E4"/>
    <w:rsid w:val="00E91E90"/>
    <w:rsid w:val="00E96510"/>
    <w:rsid w:val="00E979B0"/>
    <w:rsid w:val="00EA1F91"/>
    <w:rsid w:val="00EB782C"/>
    <w:rsid w:val="00EC37FF"/>
    <w:rsid w:val="00EE79D6"/>
    <w:rsid w:val="00EF059B"/>
    <w:rsid w:val="00F05BC6"/>
    <w:rsid w:val="00F253DD"/>
    <w:rsid w:val="00F40D65"/>
    <w:rsid w:val="00F535D6"/>
    <w:rsid w:val="00F56187"/>
    <w:rsid w:val="00F63A79"/>
    <w:rsid w:val="00F77DA2"/>
    <w:rsid w:val="00FB3019"/>
    <w:rsid w:val="00FD6CA5"/>
    <w:rsid w:val="00FE6FCB"/>
    <w:rsid w:val="00FF7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6EBB55"/>
  <w14:defaultImageDpi w14:val="32767"/>
  <w15:chartTrackingRefBased/>
  <w15:docId w15:val="{FFEBFB8A-2996-9C46-AE20-9B67E9E1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61833"/>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7B1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4034"/>
    <w:rPr>
      <w:color w:val="0563C1" w:themeColor="hyperlink"/>
      <w:u w:val="single"/>
    </w:rPr>
  </w:style>
  <w:style w:type="paragraph" w:styleId="BalloonText">
    <w:name w:val="Balloon Text"/>
    <w:basedOn w:val="Normal"/>
    <w:link w:val="BalloonTextChar"/>
    <w:uiPriority w:val="99"/>
    <w:semiHidden/>
    <w:unhideWhenUsed/>
    <w:rsid w:val="00E965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96510"/>
    <w:rPr>
      <w:rFonts w:ascii="Times New Roman" w:hAnsi="Times New Roman" w:cs="Times New Roman"/>
      <w:sz w:val="18"/>
      <w:szCs w:val="18"/>
    </w:rPr>
  </w:style>
  <w:style w:type="paragraph" w:styleId="Footer">
    <w:name w:val="footer"/>
    <w:basedOn w:val="Normal"/>
    <w:link w:val="FooterChar"/>
    <w:uiPriority w:val="99"/>
    <w:unhideWhenUsed/>
    <w:rsid w:val="00A8662F"/>
    <w:pPr>
      <w:tabs>
        <w:tab w:val="center" w:pos="4680"/>
        <w:tab w:val="right" w:pos="9360"/>
      </w:tabs>
    </w:pPr>
  </w:style>
  <w:style w:type="character" w:customStyle="1" w:styleId="FooterChar">
    <w:name w:val="Footer Char"/>
    <w:basedOn w:val="DefaultParagraphFont"/>
    <w:link w:val="Footer"/>
    <w:uiPriority w:val="99"/>
    <w:rsid w:val="00A8662F"/>
  </w:style>
  <w:style w:type="character" w:styleId="PageNumber">
    <w:name w:val="page number"/>
    <w:basedOn w:val="DefaultParagraphFont"/>
    <w:uiPriority w:val="99"/>
    <w:semiHidden/>
    <w:unhideWhenUsed/>
    <w:rsid w:val="00A8662F"/>
  </w:style>
  <w:style w:type="character" w:styleId="UnresolvedMention">
    <w:name w:val="Unresolved Mention"/>
    <w:basedOn w:val="DefaultParagraphFont"/>
    <w:uiPriority w:val="99"/>
    <w:rsid w:val="004F6AC2"/>
    <w:rPr>
      <w:color w:val="605E5C"/>
      <w:shd w:val="clear" w:color="auto" w:fill="E1DFDD"/>
    </w:rPr>
  </w:style>
  <w:style w:type="character" w:styleId="FollowedHyperlink">
    <w:name w:val="FollowedHyperlink"/>
    <w:basedOn w:val="DefaultParagraphFont"/>
    <w:uiPriority w:val="99"/>
    <w:semiHidden/>
    <w:unhideWhenUsed/>
    <w:rsid w:val="00E979B0"/>
    <w:rPr>
      <w:color w:val="954F72" w:themeColor="followedHyperlink"/>
      <w:u w:val="single"/>
    </w:rPr>
  </w:style>
  <w:style w:type="paragraph" w:styleId="FootnoteText">
    <w:name w:val="footnote text"/>
    <w:basedOn w:val="Normal"/>
    <w:link w:val="FootnoteTextChar"/>
    <w:uiPriority w:val="99"/>
    <w:semiHidden/>
    <w:unhideWhenUsed/>
    <w:rsid w:val="00B23D35"/>
    <w:rPr>
      <w:sz w:val="20"/>
      <w:szCs w:val="20"/>
    </w:rPr>
  </w:style>
  <w:style w:type="character" w:customStyle="1" w:styleId="FootnoteTextChar">
    <w:name w:val="Footnote Text Char"/>
    <w:basedOn w:val="DefaultParagraphFont"/>
    <w:link w:val="FootnoteText"/>
    <w:uiPriority w:val="99"/>
    <w:semiHidden/>
    <w:rsid w:val="00B23D35"/>
    <w:rPr>
      <w:sz w:val="20"/>
      <w:szCs w:val="20"/>
    </w:rPr>
  </w:style>
  <w:style w:type="character" w:styleId="FootnoteReference">
    <w:name w:val="footnote reference"/>
    <w:basedOn w:val="DefaultParagraphFont"/>
    <w:uiPriority w:val="99"/>
    <w:semiHidden/>
    <w:unhideWhenUsed/>
    <w:rsid w:val="00B23D35"/>
    <w:rPr>
      <w:vertAlign w:val="superscript"/>
    </w:rPr>
  </w:style>
  <w:style w:type="paragraph" w:styleId="Header">
    <w:name w:val="header"/>
    <w:basedOn w:val="Normal"/>
    <w:link w:val="HeaderChar"/>
    <w:uiPriority w:val="99"/>
    <w:unhideWhenUsed/>
    <w:rsid w:val="006C5FEC"/>
    <w:pPr>
      <w:tabs>
        <w:tab w:val="center" w:pos="4680"/>
        <w:tab w:val="right" w:pos="9360"/>
      </w:tabs>
    </w:pPr>
  </w:style>
  <w:style w:type="character" w:customStyle="1" w:styleId="HeaderChar">
    <w:name w:val="Header Char"/>
    <w:basedOn w:val="DefaultParagraphFont"/>
    <w:link w:val="Header"/>
    <w:uiPriority w:val="99"/>
    <w:rsid w:val="006C5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074001">
      <w:bodyDiv w:val="1"/>
      <w:marLeft w:val="0"/>
      <w:marRight w:val="0"/>
      <w:marTop w:val="0"/>
      <w:marBottom w:val="0"/>
      <w:divBdr>
        <w:top w:val="none" w:sz="0" w:space="0" w:color="auto"/>
        <w:left w:val="none" w:sz="0" w:space="0" w:color="auto"/>
        <w:bottom w:val="none" w:sz="0" w:space="0" w:color="auto"/>
        <w:right w:val="none" w:sz="0" w:space="0" w:color="auto"/>
      </w:divBdr>
      <w:divsChild>
        <w:div w:id="1740517787">
          <w:marLeft w:val="0"/>
          <w:marRight w:val="0"/>
          <w:marTop w:val="0"/>
          <w:marBottom w:val="0"/>
          <w:divBdr>
            <w:top w:val="none" w:sz="0" w:space="0" w:color="auto"/>
            <w:left w:val="none" w:sz="0" w:space="0" w:color="auto"/>
            <w:bottom w:val="none" w:sz="0" w:space="0" w:color="auto"/>
            <w:right w:val="none" w:sz="0" w:space="0" w:color="auto"/>
          </w:divBdr>
          <w:divsChild>
            <w:div w:id="929964727">
              <w:marLeft w:val="0"/>
              <w:marRight w:val="0"/>
              <w:marTop w:val="0"/>
              <w:marBottom w:val="0"/>
              <w:divBdr>
                <w:top w:val="none" w:sz="0" w:space="0" w:color="auto"/>
                <w:left w:val="none" w:sz="0" w:space="0" w:color="auto"/>
                <w:bottom w:val="none" w:sz="0" w:space="0" w:color="auto"/>
                <w:right w:val="none" w:sz="0" w:space="0" w:color="auto"/>
              </w:divBdr>
              <w:divsChild>
                <w:div w:id="1137181240">
                  <w:marLeft w:val="0"/>
                  <w:marRight w:val="0"/>
                  <w:marTop w:val="0"/>
                  <w:marBottom w:val="0"/>
                  <w:divBdr>
                    <w:top w:val="none" w:sz="0" w:space="0" w:color="auto"/>
                    <w:left w:val="none" w:sz="0" w:space="0" w:color="auto"/>
                    <w:bottom w:val="none" w:sz="0" w:space="0" w:color="auto"/>
                    <w:right w:val="none" w:sz="0" w:space="0" w:color="auto"/>
                  </w:divBdr>
                  <w:divsChild>
                    <w:div w:id="3889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245109">
      <w:bodyDiv w:val="1"/>
      <w:marLeft w:val="0"/>
      <w:marRight w:val="0"/>
      <w:marTop w:val="0"/>
      <w:marBottom w:val="0"/>
      <w:divBdr>
        <w:top w:val="none" w:sz="0" w:space="0" w:color="auto"/>
        <w:left w:val="none" w:sz="0" w:space="0" w:color="auto"/>
        <w:bottom w:val="none" w:sz="0" w:space="0" w:color="auto"/>
        <w:right w:val="none" w:sz="0" w:space="0" w:color="auto"/>
      </w:divBdr>
      <w:divsChild>
        <w:div w:id="1969822175">
          <w:marLeft w:val="360"/>
          <w:marRight w:val="0"/>
          <w:marTop w:val="200"/>
          <w:marBottom w:val="0"/>
          <w:divBdr>
            <w:top w:val="none" w:sz="0" w:space="0" w:color="auto"/>
            <w:left w:val="none" w:sz="0" w:space="0" w:color="auto"/>
            <w:bottom w:val="none" w:sz="0" w:space="0" w:color="auto"/>
            <w:right w:val="none" w:sz="0" w:space="0" w:color="auto"/>
          </w:divBdr>
        </w:div>
        <w:div w:id="1877767907">
          <w:marLeft w:val="360"/>
          <w:marRight w:val="0"/>
          <w:marTop w:val="200"/>
          <w:marBottom w:val="0"/>
          <w:divBdr>
            <w:top w:val="none" w:sz="0" w:space="0" w:color="auto"/>
            <w:left w:val="none" w:sz="0" w:space="0" w:color="auto"/>
            <w:bottom w:val="none" w:sz="0" w:space="0" w:color="auto"/>
            <w:right w:val="none" w:sz="0" w:space="0" w:color="auto"/>
          </w:divBdr>
        </w:div>
      </w:divsChild>
    </w:div>
    <w:div w:id="342173225">
      <w:bodyDiv w:val="1"/>
      <w:marLeft w:val="0"/>
      <w:marRight w:val="0"/>
      <w:marTop w:val="0"/>
      <w:marBottom w:val="0"/>
      <w:divBdr>
        <w:top w:val="none" w:sz="0" w:space="0" w:color="auto"/>
        <w:left w:val="none" w:sz="0" w:space="0" w:color="auto"/>
        <w:bottom w:val="none" w:sz="0" w:space="0" w:color="auto"/>
        <w:right w:val="none" w:sz="0" w:space="0" w:color="auto"/>
      </w:divBdr>
      <w:divsChild>
        <w:div w:id="619187285">
          <w:marLeft w:val="360"/>
          <w:marRight w:val="0"/>
          <w:marTop w:val="200"/>
          <w:marBottom w:val="0"/>
          <w:divBdr>
            <w:top w:val="none" w:sz="0" w:space="0" w:color="auto"/>
            <w:left w:val="none" w:sz="0" w:space="0" w:color="auto"/>
            <w:bottom w:val="none" w:sz="0" w:space="0" w:color="auto"/>
            <w:right w:val="none" w:sz="0" w:space="0" w:color="auto"/>
          </w:divBdr>
        </w:div>
        <w:div w:id="293873949">
          <w:marLeft w:val="360"/>
          <w:marRight w:val="0"/>
          <w:marTop w:val="200"/>
          <w:marBottom w:val="0"/>
          <w:divBdr>
            <w:top w:val="none" w:sz="0" w:space="0" w:color="auto"/>
            <w:left w:val="none" w:sz="0" w:space="0" w:color="auto"/>
            <w:bottom w:val="none" w:sz="0" w:space="0" w:color="auto"/>
            <w:right w:val="none" w:sz="0" w:space="0" w:color="auto"/>
          </w:divBdr>
        </w:div>
        <w:div w:id="2100905911">
          <w:marLeft w:val="360"/>
          <w:marRight w:val="0"/>
          <w:marTop w:val="200"/>
          <w:marBottom w:val="0"/>
          <w:divBdr>
            <w:top w:val="none" w:sz="0" w:space="0" w:color="auto"/>
            <w:left w:val="none" w:sz="0" w:space="0" w:color="auto"/>
            <w:bottom w:val="none" w:sz="0" w:space="0" w:color="auto"/>
            <w:right w:val="none" w:sz="0" w:space="0" w:color="auto"/>
          </w:divBdr>
        </w:div>
        <w:div w:id="37559909">
          <w:marLeft w:val="360"/>
          <w:marRight w:val="0"/>
          <w:marTop w:val="200"/>
          <w:marBottom w:val="0"/>
          <w:divBdr>
            <w:top w:val="none" w:sz="0" w:space="0" w:color="auto"/>
            <w:left w:val="none" w:sz="0" w:space="0" w:color="auto"/>
            <w:bottom w:val="none" w:sz="0" w:space="0" w:color="auto"/>
            <w:right w:val="none" w:sz="0" w:space="0" w:color="auto"/>
          </w:divBdr>
        </w:div>
        <w:div w:id="1047607972">
          <w:marLeft w:val="360"/>
          <w:marRight w:val="0"/>
          <w:marTop w:val="200"/>
          <w:marBottom w:val="0"/>
          <w:divBdr>
            <w:top w:val="none" w:sz="0" w:space="0" w:color="auto"/>
            <w:left w:val="none" w:sz="0" w:space="0" w:color="auto"/>
            <w:bottom w:val="none" w:sz="0" w:space="0" w:color="auto"/>
            <w:right w:val="none" w:sz="0" w:space="0" w:color="auto"/>
          </w:divBdr>
        </w:div>
        <w:div w:id="1808888409">
          <w:marLeft w:val="360"/>
          <w:marRight w:val="0"/>
          <w:marTop w:val="200"/>
          <w:marBottom w:val="0"/>
          <w:divBdr>
            <w:top w:val="none" w:sz="0" w:space="0" w:color="auto"/>
            <w:left w:val="none" w:sz="0" w:space="0" w:color="auto"/>
            <w:bottom w:val="none" w:sz="0" w:space="0" w:color="auto"/>
            <w:right w:val="none" w:sz="0" w:space="0" w:color="auto"/>
          </w:divBdr>
        </w:div>
        <w:div w:id="1346785199">
          <w:marLeft w:val="360"/>
          <w:marRight w:val="0"/>
          <w:marTop w:val="200"/>
          <w:marBottom w:val="0"/>
          <w:divBdr>
            <w:top w:val="none" w:sz="0" w:space="0" w:color="auto"/>
            <w:left w:val="none" w:sz="0" w:space="0" w:color="auto"/>
            <w:bottom w:val="none" w:sz="0" w:space="0" w:color="auto"/>
            <w:right w:val="none" w:sz="0" w:space="0" w:color="auto"/>
          </w:divBdr>
        </w:div>
      </w:divsChild>
    </w:div>
    <w:div w:id="673071496">
      <w:bodyDiv w:val="1"/>
      <w:marLeft w:val="0"/>
      <w:marRight w:val="0"/>
      <w:marTop w:val="0"/>
      <w:marBottom w:val="0"/>
      <w:divBdr>
        <w:top w:val="none" w:sz="0" w:space="0" w:color="auto"/>
        <w:left w:val="none" w:sz="0" w:space="0" w:color="auto"/>
        <w:bottom w:val="none" w:sz="0" w:space="0" w:color="auto"/>
        <w:right w:val="none" w:sz="0" w:space="0" w:color="auto"/>
      </w:divBdr>
      <w:divsChild>
        <w:div w:id="715812075">
          <w:marLeft w:val="0"/>
          <w:marRight w:val="0"/>
          <w:marTop w:val="0"/>
          <w:marBottom w:val="0"/>
          <w:divBdr>
            <w:top w:val="none" w:sz="0" w:space="0" w:color="auto"/>
            <w:left w:val="none" w:sz="0" w:space="0" w:color="auto"/>
            <w:bottom w:val="none" w:sz="0" w:space="0" w:color="auto"/>
            <w:right w:val="none" w:sz="0" w:space="0" w:color="auto"/>
          </w:divBdr>
          <w:divsChild>
            <w:div w:id="829516708">
              <w:marLeft w:val="0"/>
              <w:marRight w:val="0"/>
              <w:marTop w:val="0"/>
              <w:marBottom w:val="0"/>
              <w:divBdr>
                <w:top w:val="none" w:sz="0" w:space="0" w:color="auto"/>
                <w:left w:val="none" w:sz="0" w:space="0" w:color="auto"/>
                <w:bottom w:val="none" w:sz="0" w:space="0" w:color="auto"/>
                <w:right w:val="none" w:sz="0" w:space="0" w:color="auto"/>
              </w:divBdr>
              <w:divsChild>
                <w:div w:id="7442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00457">
      <w:bodyDiv w:val="1"/>
      <w:marLeft w:val="0"/>
      <w:marRight w:val="0"/>
      <w:marTop w:val="0"/>
      <w:marBottom w:val="0"/>
      <w:divBdr>
        <w:top w:val="none" w:sz="0" w:space="0" w:color="auto"/>
        <w:left w:val="none" w:sz="0" w:space="0" w:color="auto"/>
        <w:bottom w:val="none" w:sz="0" w:space="0" w:color="auto"/>
        <w:right w:val="none" w:sz="0" w:space="0" w:color="auto"/>
      </w:divBdr>
    </w:div>
    <w:div w:id="141886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nergy.ca.gov/event/workshop/2020-12/staff-workshop-initial-public-workshop-comments-long-duration-energy-storage" TargetMode="Externa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cnbc.com/2020/11/01/how-salt-caverns-may-trigger-11-trillion-hydrogen-energy-boom-.html"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8</Pages>
  <Words>2041</Words>
  <Characters>11639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dc:description/>
  <cp:lastModifiedBy>Sarah Kurtz</cp:lastModifiedBy>
  <cp:revision>40</cp:revision>
  <dcterms:created xsi:type="dcterms:W3CDTF">2020-12-10T07:21:00Z</dcterms:created>
  <dcterms:modified xsi:type="dcterms:W3CDTF">2020-12-13T19:25:00Z</dcterms:modified>
</cp:coreProperties>
</file>