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0326A" w14:textId="759E1337" w:rsidR="00853BED" w:rsidRPr="00CC3767" w:rsidRDefault="00853BED">
      <w:pPr>
        <w:rPr>
          <w:b/>
          <w:bCs/>
        </w:rPr>
      </w:pPr>
      <w:r w:rsidRPr="00853BED">
        <w:rPr>
          <w:rFonts w:hint="eastAsia"/>
          <w:b/>
          <w:bCs/>
        </w:rPr>
        <w:t>Technology</w:t>
      </w:r>
      <w:r w:rsidRPr="00853BED">
        <w:rPr>
          <w:b/>
          <w:bCs/>
        </w:rPr>
        <w:t xml:space="preserve"> Projection 1. Battery Storage</w:t>
      </w:r>
    </w:p>
    <w:p w14:paraId="74711685" w14:textId="2A9A8A37" w:rsidR="00853BED" w:rsidRPr="00853BED" w:rsidRDefault="00853BED">
      <w:pPr>
        <w:rPr>
          <w:b/>
          <w:bCs/>
        </w:rPr>
      </w:pPr>
      <w:r w:rsidRPr="00853BED">
        <w:rPr>
          <w:b/>
          <w:bCs/>
        </w:rPr>
        <w:t>1. NREL Annual Technology Baseline 2020</w:t>
      </w:r>
    </w:p>
    <w:p w14:paraId="4504B30A" w14:textId="6D3F96E6" w:rsidR="00853BED" w:rsidRDefault="00853BED">
      <w:r>
        <w:t xml:space="preserve">NREL Annual Technology Baseline 2020 (ATB) projects CAPEX, fixed O&amp;M costs, and variable O&amp;M costs of utility-scale, 4-hour battery storage based on Cole and Frazier (2020). ATB sets three projection scenarios to reflect the speed of technological innovation: Conservative, Moderate, and Advanced Scenarios. Table 1 qualitatively summarized these scenarios. </w:t>
      </w:r>
    </w:p>
    <w:p w14:paraId="3B8CE93F" w14:textId="77777777" w:rsidR="00CC3767" w:rsidRDefault="00CC3767"/>
    <w:p w14:paraId="49BF46B7" w14:textId="14E71162" w:rsidR="00853BED" w:rsidRDefault="00853BED" w:rsidP="00853BED">
      <w:pPr>
        <w:jc w:val="center"/>
      </w:pPr>
      <w:r>
        <w:t>Table 1: Three Projection Scenarios</w:t>
      </w:r>
    </w:p>
    <w:tbl>
      <w:tblPr>
        <w:tblStyle w:val="TableGrid"/>
        <w:tblW w:w="0" w:type="auto"/>
        <w:tblLook w:val="04A0" w:firstRow="1" w:lastRow="0" w:firstColumn="1" w:lastColumn="0" w:noHBand="0" w:noVBand="1"/>
      </w:tblPr>
      <w:tblGrid>
        <w:gridCol w:w="2160"/>
        <w:gridCol w:w="7190"/>
      </w:tblGrid>
      <w:tr w:rsidR="00853BED" w14:paraId="14E111FA" w14:textId="77777777" w:rsidTr="00853BED">
        <w:tc>
          <w:tcPr>
            <w:tcW w:w="2160" w:type="dxa"/>
            <w:tcBorders>
              <w:top w:val="single" w:sz="4" w:space="0" w:color="auto"/>
              <w:left w:val="nil"/>
              <w:bottom w:val="single" w:sz="4" w:space="0" w:color="auto"/>
              <w:right w:val="nil"/>
            </w:tcBorders>
          </w:tcPr>
          <w:p w14:paraId="4798C89C" w14:textId="145F4E87" w:rsidR="00853BED" w:rsidRPr="00CC3767" w:rsidRDefault="00853BED" w:rsidP="00CC3767">
            <w:pPr>
              <w:spacing w:line="280" w:lineRule="exact"/>
              <w:rPr>
                <w:sz w:val="22"/>
                <w:szCs w:val="22"/>
              </w:rPr>
            </w:pPr>
            <w:r w:rsidRPr="00CC3767">
              <w:rPr>
                <w:sz w:val="22"/>
                <w:szCs w:val="22"/>
              </w:rPr>
              <w:t>Scenario</w:t>
            </w:r>
          </w:p>
        </w:tc>
        <w:tc>
          <w:tcPr>
            <w:tcW w:w="7190" w:type="dxa"/>
            <w:tcBorders>
              <w:top w:val="single" w:sz="4" w:space="0" w:color="auto"/>
              <w:left w:val="nil"/>
              <w:bottom w:val="single" w:sz="4" w:space="0" w:color="auto"/>
              <w:right w:val="nil"/>
            </w:tcBorders>
          </w:tcPr>
          <w:p w14:paraId="4B54F252" w14:textId="31FAE8CD" w:rsidR="00853BED" w:rsidRPr="00CC3767" w:rsidRDefault="00853BED" w:rsidP="00CC3767">
            <w:pPr>
              <w:spacing w:line="280" w:lineRule="exact"/>
              <w:rPr>
                <w:sz w:val="22"/>
                <w:szCs w:val="22"/>
              </w:rPr>
            </w:pPr>
            <w:r w:rsidRPr="00CC3767">
              <w:rPr>
                <w:sz w:val="22"/>
                <w:szCs w:val="22"/>
              </w:rPr>
              <w:t>Description on technological innovation</w:t>
            </w:r>
          </w:p>
        </w:tc>
      </w:tr>
      <w:tr w:rsidR="00853BED" w14:paraId="18357382" w14:textId="77777777" w:rsidTr="00853BED">
        <w:tc>
          <w:tcPr>
            <w:tcW w:w="2160" w:type="dxa"/>
            <w:tcBorders>
              <w:top w:val="single" w:sz="4" w:space="0" w:color="auto"/>
              <w:left w:val="nil"/>
              <w:bottom w:val="nil"/>
              <w:right w:val="nil"/>
            </w:tcBorders>
          </w:tcPr>
          <w:p w14:paraId="197B63A9" w14:textId="1DB988FE" w:rsidR="00853BED" w:rsidRPr="00CC3767" w:rsidRDefault="00853BED" w:rsidP="00CC3767">
            <w:pPr>
              <w:spacing w:line="280" w:lineRule="exact"/>
              <w:rPr>
                <w:sz w:val="22"/>
                <w:szCs w:val="22"/>
              </w:rPr>
            </w:pPr>
            <w:r w:rsidRPr="00CC3767">
              <w:rPr>
                <w:sz w:val="22"/>
                <w:szCs w:val="22"/>
              </w:rPr>
              <w:t>Conservative</w:t>
            </w:r>
          </w:p>
        </w:tc>
        <w:tc>
          <w:tcPr>
            <w:tcW w:w="7190" w:type="dxa"/>
            <w:tcBorders>
              <w:top w:val="single" w:sz="4" w:space="0" w:color="auto"/>
              <w:left w:val="nil"/>
              <w:bottom w:val="nil"/>
              <w:right w:val="nil"/>
            </w:tcBorders>
          </w:tcPr>
          <w:p w14:paraId="64648DDA" w14:textId="77777777" w:rsidR="00853BED" w:rsidRPr="00CC3767" w:rsidRDefault="00853BED" w:rsidP="00CC3767">
            <w:pPr>
              <w:pStyle w:val="ListParagraph"/>
              <w:numPr>
                <w:ilvl w:val="0"/>
                <w:numId w:val="1"/>
              </w:numPr>
              <w:spacing w:line="280" w:lineRule="exact"/>
              <w:rPr>
                <w:sz w:val="22"/>
                <w:szCs w:val="22"/>
              </w:rPr>
            </w:pPr>
            <w:r w:rsidRPr="00CC3767">
              <w:rPr>
                <w:sz w:val="22"/>
                <w:szCs w:val="22"/>
              </w:rPr>
              <w:t>Today's technology with little innovation</w:t>
            </w:r>
          </w:p>
          <w:p w14:paraId="46ECC5C0" w14:textId="77777777" w:rsidR="00853BED" w:rsidRPr="00CC3767" w:rsidRDefault="00853BED" w:rsidP="00CC3767">
            <w:pPr>
              <w:pStyle w:val="ListParagraph"/>
              <w:numPr>
                <w:ilvl w:val="0"/>
                <w:numId w:val="1"/>
              </w:numPr>
              <w:spacing w:line="280" w:lineRule="exact"/>
              <w:rPr>
                <w:sz w:val="22"/>
                <w:szCs w:val="22"/>
              </w:rPr>
            </w:pPr>
            <w:r w:rsidRPr="00CC3767">
              <w:rPr>
                <w:sz w:val="22"/>
                <w:szCs w:val="22"/>
              </w:rPr>
              <w:t>Continued industrial learning</w:t>
            </w:r>
          </w:p>
          <w:p w14:paraId="2DAB1AF2" w14:textId="0BB090E3" w:rsidR="00853BED" w:rsidRPr="00CC3767" w:rsidRDefault="00853BED" w:rsidP="00CC3767">
            <w:pPr>
              <w:pStyle w:val="ListParagraph"/>
              <w:numPr>
                <w:ilvl w:val="0"/>
                <w:numId w:val="1"/>
              </w:numPr>
              <w:spacing w:line="280" w:lineRule="exact"/>
              <w:rPr>
                <w:sz w:val="22"/>
                <w:szCs w:val="22"/>
              </w:rPr>
            </w:pPr>
            <w:r w:rsidRPr="00CC3767">
              <w:rPr>
                <w:sz w:val="22"/>
                <w:szCs w:val="22"/>
              </w:rPr>
              <w:t>Decreased public and private R&amp;D</w:t>
            </w:r>
          </w:p>
        </w:tc>
      </w:tr>
      <w:tr w:rsidR="00853BED" w14:paraId="5438B5ED" w14:textId="77777777" w:rsidTr="00853BED">
        <w:tc>
          <w:tcPr>
            <w:tcW w:w="2160" w:type="dxa"/>
            <w:tcBorders>
              <w:top w:val="nil"/>
              <w:left w:val="nil"/>
              <w:bottom w:val="nil"/>
              <w:right w:val="nil"/>
            </w:tcBorders>
          </w:tcPr>
          <w:p w14:paraId="559D018A" w14:textId="13A6718A" w:rsidR="00853BED" w:rsidRPr="00CC3767" w:rsidRDefault="00853BED" w:rsidP="00CC3767">
            <w:pPr>
              <w:spacing w:line="280" w:lineRule="exact"/>
              <w:rPr>
                <w:sz w:val="22"/>
                <w:szCs w:val="22"/>
              </w:rPr>
            </w:pPr>
            <w:r w:rsidRPr="00CC3767">
              <w:rPr>
                <w:sz w:val="22"/>
                <w:szCs w:val="22"/>
              </w:rPr>
              <w:t>Moderate</w:t>
            </w:r>
          </w:p>
        </w:tc>
        <w:tc>
          <w:tcPr>
            <w:tcW w:w="7190" w:type="dxa"/>
            <w:tcBorders>
              <w:top w:val="nil"/>
              <w:left w:val="nil"/>
              <w:bottom w:val="nil"/>
              <w:right w:val="nil"/>
            </w:tcBorders>
          </w:tcPr>
          <w:p w14:paraId="63D65840" w14:textId="77777777" w:rsidR="00853BED" w:rsidRPr="00CC3767" w:rsidRDefault="00853BED" w:rsidP="00CC3767">
            <w:pPr>
              <w:pStyle w:val="ListParagraph"/>
              <w:numPr>
                <w:ilvl w:val="0"/>
                <w:numId w:val="2"/>
              </w:numPr>
              <w:spacing w:line="280" w:lineRule="exact"/>
              <w:rPr>
                <w:sz w:val="22"/>
                <w:szCs w:val="22"/>
              </w:rPr>
            </w:pPr>
            <w:r w:rsidRPr="00CC3767">
              <w:rPr>
                <w:sz w:val="22"/>
                <w:szCs w:val="22"/>
              </w:rPr>
              <w:t>Widespread adoption of today's cutting edge</w:t>
            </w:r>
          </w:p>
          <w:p w14:paraId="0580CDE3" w14:textId="77777777" w:rsidR="00853BED" w:rsidRPr="00CC3767" w:rsidRDefault="00853BED" w:rsidP="00CC3767">
            <w:pPr>
              <w:pStyle w:val="ListParagraph"/>
              <w:numPr>
                <w:ilvl w:val="0"/>
                <w:numId w:val="2"/>
              </w:numPr>
              <w:spacing w:line="280" w:lineRule="exact"/>
              <w:rPr>
                <w:sz w:val="22"/>
                <w:szCs w:val="22"/>
              </w:rPr>
            </w:pPr>
            <w:r w:rsidRPr="00CC3767">
              <w:rPr>
                <w:sz w:val="22"/>
                <w:szCs w:val="22"/>
              </w:rPr>
              <w:t>Expected level of innovation</w:t>
            </w:r>
          </w:p>
          <w:p w14:paraId="0350F7A2" w14:textId="0CCF74BE" w:rsidR="00853BED" w:rsidRPr="00CC3767" w:rsidRDefault="00853BED" w:rsidP="00CC3767">
            <w:pPr>
              <w:pStyle w:val="ListParagraph"/>
              <w:numPr>
                <w:ilvl w:val="0"/>
                <w:numId w:val="2"/>
              </w:numPr>
              <w:spacing w:line="280" w:lineRule="exact"/>
              <w:rPr>
                <w:sz w:val="22"/>
                <w:szCs w:val="22"/>
              </w:rPr>
            </w:pPr>
            <w:r w:rsidRPr="00CC3767">
              <w:rPr>
                <w:sz w:val="22"/>
                <w:szCs w:val="22"/>
              </w:rPr>
              <w:t>Current levels of public and private R&amp;D</w:t>
            </w:r>
          </w:p>
        </w:tc>
      </w:tr>
      <w:tr w:rsidR="00853BED" w14:paraId="4B036029" w14:textId="77777777" w:rsidTr="00853BED">
        <w:tc>
          <w:tcPr>
            <w:tcW w:w="2160" w:type="dxa"/>
            <w:tcBorders>
              <w:top w:val="nil"/>
              <w:left w:val="nil"/>
              <w:bottom w:val="single" w:sz="4" w:space="0" w:color="auto"/>
              <w:right w:val="nil"/>
            </w:tcBorders>
          </w:tcPr>
          <w:p w14:paraId="1EA82828" w14:textId="0EB9E8A7" w:rsidR="00853BED" w:rsidRPr="00CC3767" w:rsidRDefault="00853BED" w:rsidP="00CC3767">
            <w:pPr>
              <w:spacing w:line="280" w:lineRule="exact"/>
              <w:rPr>
                <w:sz w:val="22"/>
                <w:szCs w:val="22"/>
              </w:rPr>
            </w:pPr>
            <w:r w:rsidRPr="00CC3767">
              <w:rPr>
                <w:sz w:val="22"/>
                <w:szCs w:val="22"/>
              </w:rPr>
              <w:t>Advanced</w:t>
            </w:r>
          </w:p>
        </w:tc>
        <w:tc>
          <w:tcPr>
            <w:tcW w:w="7190" w:type="dxa"/>
            <w:tcBorders>
              <w:top w:val="nil"/>
              <w:left w:val="nil"/>
              <w:bottom w:val="single" w:sz="4" w:space="0" w:color="auto"/>
              <w:right w:val="nil"/>
            </w:tcBorders>
          </w:tcPr>
          <w:p w14:paraId="3C5EDBD2" w14:textId="77777777" w:rsidR="00853BED" w:rsidRPr="00CC3767" w:rsidRDefault="00853BED" w:rsidP="00CC3767">
            <w:pPr>
              <w:pStyle w:val="ListParagraph"/>
              <w:numPr>
                <w:ilvl w:val="0"/>
                <w:numId w:val="3"/>
              </w:numPr>
              <w:spacing w:line="280" w:lineRule="exact"/>
              <w:rPr>
                <w:sz w:val="22"/>
                <w:szCs w:val="22"/>
              </w:rPr>
            </w:pPr>
            <w:r w:rsidRPr="00CC3767">
              <w:rPr>
                <w:sz w:val="22"/>
                <w:szCs w:val="22"/>
              </w:rPr>
              <w:t>Markets success of currently unproven innovation</w:t>
            </w:r>
          </w:p>
          <w:p w14:paraId="32F49F30" w14:textId="77777777" w:rsidR="00853BED" w:rsidRPr="00CC3767" w:rsidRDefault="00853BED" w:rsidP="00CC3767">
            <w:pPr>
              <w:pStyle w:val="ListParagraph"/>
              <w:numPr>
                <w:ilvl w:val="0"/>
                <w:numId w:val="3"/>
              </w:numPr>
              <w:spacing w:line="280" w:lineRule="exact"/>
              <w:rPr>
                <w:sz w:val="22"/>
                <w:szCs w:val="22"/>
              </w:rPr>
            </w:pPr>
            <w:r w:rsidRPr="00CC3767">
              <w:rPr>
                <w:sz w:val="22"/>
                <w:szCs w:val="22"/>
              </w:rPr>
              <w:t>New technology architectures</w:t>
            </w:r>
          </w:p>
          <w:p w14:paraId="341955F5" w14:textId="5AF4E15C" w:rsidR="00853BED" w:rsidRPr="00CC3767" w:rsidRDefault="00853BED" w:rsidP="00CC3767">
            <w:pPr>
              <w:pStyle w:val="ListParagraph"/>
              <w:numPr>
                <w:ilvl w:val="0"/>
                <w:numId w:val="3"/>
              </w:numPr>
              <w:spacing w:line="280" w:lineRule="exact"/>
              <w:rPr>
                <w:sz w:val="22"/>
                <w:szCs w:val="22"/>
              </w:rPr>
            </w:pPr>
            <w:r w:rsidRPr="00CC3767">
              <w:rPr>
                <w:sz w:val="22"/>
                <w:szCs w:val="22"/>
              </w:rPr>
              <w:t>Increased public and private R&amp;D</w:t>
            </w:r>
          </w:p>
        </w:tc>
      </w:tr>
    </w:tbl>
    <w:p w14:paraId="5EC0A874" w14:textId="77777777" w:rsidR="00CC3767" w:rsidRDefault="00CC3767"/>
    <w:p w14:paraId="1183D7F1" w14:textId="4EA321D4" w:rsidR="00853BED" w:rsidRDefault="00853BED">
      <w:r>
        <w:t>The raw data of CAPEX and fixed O&amp;M costs are summarized in Figure 1. Regardless of scenarios or year, variable O&amp;M is 0.85 $/MWh. ATB assumes 15 years lifetime</w:t>
      </w:r>
      <w:r w:rsidR="00CC3767">
        <w:t xml:space="preserve">. Any of these numbers do not include policy support such as subsidy. </w:t>
      </w:r>
    </w:p>
    <w:p w14:paraId="63558EAA" w14:textId="77777777" w:rsidR="00CC3767" w:rsidRDefault="00CC3767"/>
    <w:p w14:paraId="7DF264A8" w14:textId="702AC0C5" w:rsidR="00853BED" w:rsidRDefault="00853BED" w:rsidP="00853BED">
      <w:pPr>
        <w:jc w:val="center"/>
      </w:pPr>
      <w:r>
        <w:rPr>
          <w:noProof/>
        </w:rPr>
        <w:drawing>
          <wp:inline distT="0" distB="0" distL="0" distR="0" wp14:anchorId="60AA1FE4" wp14:editId="2A40DA89">
            <wp:extent cx="2036973" cy="34747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lot154.pdf"/>
                    <pic:cNvPicPr/>
                  </pic:nvPicPr>
                  <pic:blipFill rotWithShape="1">
                    <a:blip r:embed="rId5">
                      <a:extLst>
                        <a:ext uri="{28A0092B-C50C-407E-A947-70E740481C1C}">
                          <a14:useLocalDpi xmlns:a14="http://schemas.microsoft.com/office/drawing/2010/main" val="0"/>
                        </a:ext>
                      </a:extLst>
                    </a:blip>
                    <a:srcRect r="21836"/>
                    <a:stretch/>
                  </pic:blipFill>
                  <pic:spPr bwMode="auto">
                    <a:xfrm>
                      <a:off x="0" y="0"/>
                      <a:ext cx="2036973" cy="347472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9870170" wp14:editId="1233E487">
            <wp:extent cx="2606040" cy="34747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lot155.pdf"/>
                    <pic:cNvPicPr/>
                  </pic:nvPicPr>
                  <pic:blipFill>
                    <a:blip r:embed="rId6">
                      <a:extLst>
                        <a:ext uri="{28A0092B-C50C-407E-A947-70E740481C1C}">
                          <a14:useLocalDpi xmlns:a14="http://schemas.microsoft.com/office/drawing/2010/main" val="0"/>
                        </a:ext>
                      </a:extLst>
                    </a:blip>
                    <a:stretch>
                      <a:fillRect/>
                    </a:stretch>
                  </pic:blipFill>
                  <pic:spPr>
                    <a:xfrm>
                      <a:off x="0" y="0"/>
                      <a:ext cx="2606040" cy="3474720"/>
                    </a:xfrm>
                    <a:prstGeom prst="rect">
                      <a:avLst/>
                    </a:prstGeom>
                  </pic:spPr>
                </pic:pic>
              </a:graphicData>
            </a:graphic>
          </wp:inline>
        </w:drawing>
      </w:r>
    </w:p>
    <w:p w14:paraId="33323FC7" w14:textId="40C2A71E" w:rsidR="00853BED" w:rsidRDefault="00853BED">
      <w:r>
        <w:t xml:space="preserve">Figure 1: </w:t>
      </w:r>
      <w:r w:rsidR="00514F32">
        <w:t xml:space="preserve">Projections of </w:t>
      </w:r>
      <w:r>
        <w:t>CAPEX (left) and Fixed O&amp;M (right) of utility-scale 4-hour battery storage in real $2018</w:t>
      </w:r>
      <w:r w:rsidR="00514F32">
        <w:t xml:space="preserve"> of three scenarios from ATB</w:t>
      </w:r>
    </w:p>
    <w:p w14:paraId="694B4694" w14:textId="07DF9C6C" w:rsidR="00853BED" w:rsidRDefault="00853BED"/>
    <w:p w14:paraId="288089FE" w14:textId="2CE092EE" w:rsidR="00853BED" w:rsidRPr="00853BED" w:rsidRDefault="00853BED">
      <w:pPr>
        <w:rPr>
          <w:b/>
          <w:bCs/>
        </w:rPr>
      </w:pPr>
      <w:r w:rsidRPr="00853BED">
        <w:rPr>
          <w:b/>
          <w:bCs/>
        </w:rPr>
        <w:t xml:space="preserve">2. Comparison with </w:t>
      </w:r>
      <w:r>
        <w:rPr>
          <w:b/>
          <w:bCs/>
        </w:rPr>
        <w:t xml:space="preserve">current </w:t>
      </w:r>
      <w:r w:rsidRPr="00853BED">
        <w:rPr>
          <w:b/>
          <w:bCs/>
        </w:rPr>
        <w:t>RESOLVE and SWITCH inputs</w:t>
      </w:r>
    </w:p>
    <w:p w14:paraId="13F63AA3" w14:textId="60CDE534" w:rsidR="00514F32" w:rsidRDefault="00514F32">
      <w:r>
        <w:t>Figure 2 summarized the projection of annualized CAPEX and Fixed O&amp;M costs of ATB three scenarios, SWITCH, and RESOLVE. In annualizing CAPEX of ATB, 15 years lifetime and 7% discount rate were assumed. The annualized CAPEX of SWITCH is between ATB advanced and ATB moderate in 2020, but its cost declines in ATB are much faster than that of SWITCH</w:t>
      </w:r>
      <w:r w:rsidR="00426186">
        <w:t xml:space="preserve">. </w:t>
      </w:r>
      <w:r>
        <w:rPr>
          <w:rFonts w:hint="eastAsia"/>
        </w:rPr>
        <w:t>W</w:t>
      </w:r>
      <w:r>
        <w:t xml:space="preserve">hile fixed O&amp;M costs of SWITCH is lower than any of ATB scenarios in 2020, the projected costs of ATB become lower than that of SWITCH </w:t>
      </w:r>
      <w:r w:rsidR="00426186">
        <w:t xml:space="preserve">at least </w:t>
      </w:r>
      <w:r>
        <w:t>after 2035.</w:t>
      </w:r>
    </w:p>
    <w:p w14:paraId="0E879119" w14:textId="7F6B946A" w:rsidR="00853BED" w:rsidRDefault="00514F32">
      <w:pPr>
        <w:rPr>
          <w:rFonts w:hint="eastAsia"/>
        </w:rPr>
      </w:pPr>
      <w:r>
        <w:t xml:space="preserve">Annualized CAPEX and fixed O&amp;M costs of RESOLVE is lower than those of ATB advanced scenario. </w:t>
      </w:r>
    </w:p>
    <w:p w14:paraId="0E2C66A2" w14:textId="586A148B" w:rsidR="00853BED" w:rsidRDefault="00853BED"/>
    <w:p w14:paraId="78A2F21B" w14:textId="708D2466" w:rsidR="00853BED" w:rsidRDefault="00853BED" w:rsidP="00853BED">
      <w:pPr>
        <w:jc w:val="center"/>
      </w:pPr>
      <w:r>
        <w:rPr>
          <w:noProof/>
        </w:rPr>
        <w:drawing>
          <wp:inline distT="0" distB="0" distL="0" distR="0" wp14:anchorId="347040D6" wp14:editId="0E1E66CD">
            <wp:extent cx="2413748" cy="411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lot156.pdf"/>
                    <pic:cNvPicPr/>
                  </pic:nvPicPr>
                  <pic:blipFill rotWithShape="1">
                    <a:blip r:embed="rId7">
                      <a:extLst>
                        <a:ext uri="{28A0092B-C50C-407E-A947-70E740481C1C}">
                          <a14:useLocalDpi xmlns:a14="http://schemas.microsoft.com/office/drawing/2010/main" val="0"/>
                        </a:ext>
                      </a:extLst>
                    </a:blip>
                    <a:srcRect r="21787"/>
                    <a:stretch/>
                  </pic:blipFill>
                  <pic:spPr bwMode="auto">
                    <a:xfrm>
                      <a:off x="0" y="0"/>
                      <a:ext cx="2413748" cy="41148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1BA4115" wp14:editId="1160E974">
            <wp:extent cx="3086100" cy="411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plot157.pdf"/>
                    <pic:cNvPicPr/>
                  </pic:nvPicPr>
                  <pic:blipFill>
                    <a:blip r:embed="rId8">
                      <a:extLst>
                        <a:ext uri="{28A0092B-C50C-407E-A947-70E740481C1C}">
                          <a14:useLocalDpi xmlns:a14="http://schemas.microsoft.com/office/drawing/2010/main" val="0"/>
                        </a:ext>
                      </a:extLst>
                    </a:blip>
                    <a:stretch>
                      <a:fillRect/>
                    </a:stretch>
                  </pic:blipFill>
                  <pic:spPr>
                    <a:xfrm>
                      <a:off x="0" y="0"/>
                      <a:ext cx="3086100" cy="4114800"/>
                    </a:xfrm>
                    <a:prstGeom prst="rect">
                      <a:avLst/>
                    </a:prstGeom>
                  </pic:spPr>
                </pic:pic>
              </a:graphicData>
            </a:graphic>
          </wp:inline>
        </w:drawing>
      </w:r>
    </w:p>
    <w:p w14:paraId="627A90C2" w14:textId="5C16569A" w:rsidR="00514F32" w:rsidRDefault="00514F32" w:rsidP="00514F32">
      <w:r>
        <w:t xml:space="preserve">Figure </w:t>
      </w:r>
      <w:r>
        <w:t>2</w:t>
      </w:r>
      <w:r>
        <w:t xml:space="preserve">: </w:t>
      </w:r>
      <w:r>
        <w:t>Projections of a</w:t>
      </w:r>
      <w:r>
        <w:rPr>
          <w:rFonts w:hint="eastAsia"/>
        </w:rPr>
        <w:t>nnualized</w:t>
      </w:r>
      <w:r>
        <w:t xml:space="preserve"> </w:t>
      </w:r>
      <w:r>
        <w:t>CAPEX (left) and Fixed O&amp;M (right) of utility-scale 4-hour battery storage in real $2018.</w:t>
      </w:r>
      <w:r>
        <w:t xml:space="preserve"> The assumed lifetime of SWITCH and ATB are 10 and 15 years, respectively. When annualizing CAPEX, 7% discount rate is assumed. </w:t>
      </w:r>
    </w:p>
    <w:p w14:paraId="0C0512CE" w14:textId="39AF168B" w:rsidR="00853BED" w:rsidRDefault="00853BED"/>
    <w:p w14:paraId="0D00A4B2" w14:textId="6CBAFE1A" w:rsidR="00853BED" w:rsidRDefault="00853BED"/>
    <w:p w14:paraId="5CB3298C" w14:textId="604DD4AC" w:rsidR="00853BED" w:rsidRDefault="00853BED"/>
    <w:p w14:paraId="615E4255" w14:textId="77777777" w:rsidR="00426186" w:rsidRDefault="00426186">
      <w:pPr>
        <w:rPr>
          <w:b/>
          <w:bCs/>
        </w:rPr>
      </w:pPr>
    </w:p>
    <w:p w14:paraId="0842AB35" w14:textId="77777777" w:rsidR="00426186" w:rsidRDefault="00426186">
      <w:pPr>
        <w:rPr>
          <w:b/>
          <w:bCs/>
        </w:rPr>
      </w:pPr>
    </w:p>
    <w:p w14:paraId="4D131D89" w14:textId="77777777" w:rsidR="00426186" w:rsidRDefault="00426186">
      <w:pPr>
        <w:rPr>
          <w:b/>
          <w:bCs/>
        </w:rPr>
      </w:pPr>
    </w:p>
    <w:p w14:paraId="2CFB8C7C" w14:textId="77777777" w:rsidR="00426186" w:rsidRDefault="00426186">
      <w:pPr>
        <w:rPr>
          <w:b/>
          <w:bCs/>
        </w:rPr>
      </w:pPr>
    </w:p>
    <w:p w14:paraId="17D125EC" w14:textId="77777777" w:rsidR="00426186" w:rsidRDefault="00426186">
      <w:pPr>
        <w:rPr>
          <w:b/>
          <w:bCs/>
        </w:rPr>
      </w:pPr>
    </w:p>
    <w:p w14:paraId="54AF2241" w14:textId="5D8B3AFB" w:rsidR="00426186" w:rsidRDefault="00426186">
      <w:r>
        <w:lastRenderedPageBreak/>
        <w:t>Table 2: Annualized CAPEX of ATB, RESOLVE, and SWITCH</w:t>
      </w:r>
    </w:p>
    <w:p w14:paraId="4BA202F4" w14:textId="238307D3" w:rsidR="00426186" w:rsidRDefault="00426186">
      <w:r>
        <w:rPr>
          <w:noProof/>
        </w:rPr>
        <w:drawing>
          <wp:inline distT="0" distB="0" distL="0" distR="0" wp14:anchorId="74CFE12C" wp14:editId="5B9C50DA">
            <wp:extent cx="5217861" cy="6400800"/>
            <wp:effectExtent l="0" t="0" r="1905"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9-22 at 11.20.45 PM.png"/>
                    <pic:cNvPicPr/>
                  </pic:nvPicPr>
                  <pic:blipFill>
                    <a:blip r:embed="rId9">
                      <a:extLst>
                        <a:ext uri="{28A0092B-C50C-407E-A947-70E740481C1C}">
                          <a14:useLocalDpi xmlns:a14="http://schemas.microsoft.com/office/drawing/2010/main" val="0"/>
                        </a:ext>
                      </a:extLst>
                    </a:blip>
                    <a:stretch>
                      <a:fillRect/>
                    </a:stretch>
                  </pic:blipFill>
                  <pic:spPr>
                    <a:xfrm>
                      <a:off x="0" y="0"/>
                      <a:ext cx="5217861" cy="6400800"/>
                    </a:xfrm>
                    <a:prstGeom prst="rect">
                      <a:avLst/>
                    </a:prstGeom>
                  </pic:spPr>
                </pic:pic>
              </a:graphicData>
            </a:graphic>
          </wp:inline>
        </w:drawing>
      </w:r>
    </w:p>
    <w:p w14:paraId="41C43B93" w14:textId="77777777" w:rsidR="00426186" w:rsidRDefault="00426186">
      <w:r>
        <w:br w:type="page"/>
      </w:r>
    </w:p>
    <w:p w14:paraId="4D0679A8" w14:textId="29A704C5" w:rsidR="00426186" w:rsidRPr="00426186" w:rsidRDefault="00426186">
      <w:r>
        <w:lastRenderedPageBreak/>
        <w:t xml:space="preserve">Table 3: Fixed O&amp;M of </w:t>
      </w:r>
      <w:r>
        <w:t>ATB, RESOLVE, and SWITCH</w:t>
      </w:r>
    </w:p>
    <w:p w14:paraId="7A1111BC" w14:textId="4E18DFDE" w:rsidR="00426186" w:rsidRDefault="00426186">
      <w:pPr>
        <w:rPr>
          <w:b/>
          <w:bCs/>
        </w:rPr>
      </w:pPr>
      <w:r>
        <w:rPr>
          <w:b/>
          <w:bCs/>
          <w:noProof/>
        </w:rPr>
        <w:drawing>
          <wp:inline distT="0" distB="0" distL="0" distR="0" wp14:anchorId="2B5137D1" wp14:editId="012A2640">
            <wp:extent cx="4960861" cy="5755341"/>
            <wp:effectExtent l="0" t="0" r="508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9-22 at 11.20.36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5364" cy="5760565"/>
                    </a:xfrm>
                    <a:prstGeom prst="rect">
                      <a:avLst/>
                    </a:prstGeom>
                  </pic:spPr>
                </pic:pic>
              </a:graphicData>
            </a:graphic>
          </wp:inline>
        </w:drawing>
      </w:r>
    </w:p>
    <w:p w14:paraId="5CC2B446" w14:textId="77777777" w:rsidR="00426186" w:rsidRDefault="00426186">
      <w:pPr>
        <w:rPr>
          <w:b/>
          <w:bCs/>
        </w:rPr>
      </w:pPr>
      <w:r>
        <w:rPr>
          <w:b/>
          <w:bCs/>
        </w:rPr>
        <w:br w:type="page"/>
      </w:r>
    </w:p>
    <w:p w14:paraId="24E4AB25" w14:textId="28CD0843" w:rsidR="00853BED" w:rsidRPr="00853BED" w:rsidRDefault="00853BED">
      <w:pPr>
        <w:rPr>
          <w:b/>
          <w:bCs/>
        </w:rPr>
      </w:pPr>
      <w:r w:rsidRPr="00853BED">
        <w:rPr>
          <w:b/>
          <w:bCs/>
        </w:rPr>
        <w:lastRenderedPageBreak/>
        <w:t>Reference</w:t>
      </w:r>
    </w:p>
    <w:p w14:paraId="18066031" w14:textId="47A4E4D5" w:rsidR="00853BED" w:rsidRDefault="00853BED"/>
    <w:p w14:paraId="1BEB9F97" w14:textId="5EF29539" w:rsidR="00853BED" w:rsidRDefault="00853BED">
      <w:r>
        <w:t>W. Cole and A.W. Frazier. 2020. "Cost Projections for Utility-Scale Battery Storage: 2020 Update" TP-6A20-75385. National Renewable Energy Laboratory</w:t>
      </w:r>
    </w:p>
    <w:p w14:paraId="13723FBA" w14:textId="2EDFACE9" w:rsidR="00853BED" w:rsidRDefault="00853BED">
      <w:r w:rsidRPr="00853BED">
        <w:t>https://www.nrel.gov/docs/fy19osti/73222.pdf</w:t>
      </w:r>
    </w:p>
    <w:sectPr w:rsidR="00853BED" w:rsidSect="00BD1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E5748"/>
    <w:multiLevelType w:val="hybridMultilevel"/>
    <w:tmpl w:val="3B9A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E5"/>
    <w:multiLevelType w:val="hybridMultilevel"/>
    <w:tmpl w:val="D50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C2BA0"/>
    <w:multiLevelType w:val="hybridMultilevel"/>
    <w:tmpl w:val="AFB8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ED"/>
    <w:rsid w:val="00426186"/>
    <w:rsid w:val="00494AD4"/>
    <w:rsid w:val="00514F32"/>
    <w:rsid w:val="00853BED"/>
    <w:rsid w:val="00A202FF"/>
    <w:rsid w:val="00BD1297"/>
    <w:rsid w:val="00C16738"/>
    <w:rsid w:val="00CC3767"/>
    <w:rsid w:val="00DA4012"/>
    <w:rsid w:val="00F82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F1C7"/>
  <w15:chartTrackingRefBased/>
  <w15:docId w15:val="{787687D3-FE08-FE4F-AFCC-A431C7B9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Shiraishi</dc:creator>
  <cp:keywords/>
  <dc:description/>
  <cp:lastModifiedBy>Kenji Shiraishi</cp:lastModifiedBy>
  <cp:revision>4</cp:revision>
  <cp:lastPrinted>2020-09-23T03:12:00Z</cp:lastPrinted>
  <dcterms:created xsi:type="dcterms:W3CDTF">2020-09-22T00:42:00Z</dcterms:created>
  <dcterms:modified xsi:type="dcterms:W3CDTF">2020-09-23T06:26:00Z</dcterms:modified>
</cp:coreProperties>
</file>