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BBD79" w14:textId="3C098C03" w:rsidR="00E37142" w:rsidRPr="00826F13" w:rsidRDefault="007824E4">
      <w:pPr>
        <w:rPr>
          <w:b/>
          <w:bCs/>
        </w:rPr>
      </w:pPr>
      <w:r>
        <w:rPr>
          <w:b/>
          <w:bCs/>
        </w:rPr>
        <w:t xml:space="preserve">Comparison of Technological Projection </w:t>
      </w:r>
      <w:r w:rsidR="00826F13" w:rsidRPr="00826F13">
        <w:rPr>
          <w:b/>
          <w:bCs/>
        </w:rPr>
        <w:t>in SWITCH</w:t>
      </w:r>
      <w:r>
        <w:rPr>
          <w:b/>
          <w:bCs/>
        </w:rPr>
        <w:t xml:space="preserve"> and RESOLVE</w:t>
      </w:r>
    </w:p>
    <w:p w14:paraId="6171AC52" w14:textId="60ECB116" w:rsidR="00826F13" w:rsidRDefault="00826F13"/>
    <w:p w14:paraId="73527706" w14:textId="4400233E" w:rsidR="00826F13" w:rsidRPr="00826F13" w:rsidRDefault="00826F13" w:rsidP="00826F13">
      <w:pPr>
        <w:rPr>
          <w:b/>
          <w:bCs/>
        </w:rPr>
      </w:pPr>
      <w:r w:rsidRPr="00826F13">
        <w:rPr>
          <w:b/>
          <w:bCs/>
        </w:rPr>
        <w:t>1. Projections on the capital costs</w:t>
      </w:r>
      <w:r w:rsidR="007824E4">
        <w:rPr>
          <w:b/>
          <w:bCs/>
        </w:rPr>
        <w:t xml:space="preserve"> and fixed O&amp;M costs</w:t>
      </w:r>
      <w:r w:rsidRPr="00826F13">
        <w:rPr>
          <w:b/>
          <w:bCs/>
        </w:rPr>
        <w:t xml:space="preserve"> of </w:t>
      </w:r>
      <w:r w:rsidR="007824E4">
        <w:rPr>
          <w:b/>
          <w:bCs/>
        </w:rPr>
        <w:t xml:space="preserve">major </w:t>
      </w:r>
      <w:r w:rsidRPr="00826F13">
        <w:rPr>
          <w:b/>
          <w:bCs/>
        </w:rPr>
        <w:t>technologies</w:t>
      </w:r>
    </w:p>
    <w:p w14:paraId="781E6BB5" w14:textId="18449069" w:rsidR="00E37142" w:rsidRDefault="00E37142" w:rsidP="00826F13"/>
    <w:p w14:paraId="1964C637" w14:textId="6283FCA6" w:rsidR="007824E4" w:rsidRDefault="007824E4" w:rsidP="00826F13">
      <w:r>
        <w:t xml:space="preserve">The costs inputs of central PV, onshore wind, natural gas-fired power plants (CCGT), and battery storage in SWITCH </w:t>
      </w:r>
      <w:r w:rsidR="009E09C5">
        <w:t xml:space="preserve">(Base-case with updated solar, geothermal, and offshore wind) </w:t>
      </w:r>
      <w:r>
        <w:t xml:space="preserve">and RESOLVE are compared in </w:t>
      </w:r>
      <w:r w:rsidR="00A8650B">
        <w:t>this document.</w:t>
      </w:r>
      <w:r>
        <w:t xml:space="preserve"> </w:t>
      </w:r>
    </w:p>
    <w:p w14:paraId="223CCA18" w14:textId="77777777" w:rsidR="007824E4" w:rsidRDefault="007824E4" w:rsidP="00826F13"/>
    <w:p w14:paraId="155D5F4E" w14:textId="1B9163F5" w:rsidR="00826F13" w:rsidRPr="00E7419C" w:rsidRDefault="00826F13" w:rsidP="00826F13">
      <w:pPr>
        <w:rPr>
          <w:b/>
          <w:bCs/>
        </w:rPr>
      </w:pPr>
      <w:r w:rsidRPr="00E7419C">
        <w:rPr>
          <w:b/>
          <w:bCs/>
        </w:rPr>
        <w:t>1.1</w:t>
      </w:r>
      <w:r w:rsidRPr="00E7419C">
        <w:rPr>
          <w:b/>
          <w:bCs/>
        </w:rPr>
        <w:tab/>
      </w:r>
      <w:r w:rsidR="007824E4">
        <w:rPr>
          <w:b/>
          <w:bCs/>
        </w:rPr>
        <w:t>Generation</w:t>
      </w:r>
      <w:r w:rsidR="00BB40C4" w:rsidRPr="00E7419C">
        <w:rPr>
          <w:b/>
          <w:bCs/>
        </w:rPr>
        <w:t xml:space="preserve"> t</w:t>
      </w:r>
      <w:r w:rsidRPr="00E7419C">
        <w:rPr>
          <w:b/>
          <w:bCs/>
        </w:rPr>
        <w:t>echnologies</w:t>
      </w:r>
    </w:p>
    <w:p w14:paraId="644E8B78" w14:textId="050F4459" w:rsidR="00BB40C4" w:rsidRDefault="007824E4" w:rsidP="00826F13">
      <w:r>
        <w:t>In SWITCH, c</w:t>
      </w:r>
      <w:r w:rsidR="00E7419C">
        <w:t xml:space="preserve">osts for most technologies are assumed to stay constant in real terms through 2050 as these technologies are considered mature. </w:t>
      </w:r>
      <w:r>
        <w:t>In the selected technologies, onshore wind and CCGT are assumed to be mature. On the other hand, s</w:t>
      </w:r>
      <w:r>
        <w:t>olar and battery storage technologies are assumed to decline in capital costs</w:t>
      </w:r>
      <w:r w:rsidR="00F86292">
        <w:t xml:space="preserve"> and/or fixed O&amp;M costs</w:t>
      </w:r>
      <w:r>
        <w:t xml:space="preserve"> through 2050. These projections originate from Black and Veatch (2012)</w:t>
      </w:r>
      <w:r w:rsidR="002723E9">
        <w:t xml:space="preserve"> for CCGT</w:t>
      </w:r>
      <w:r w:rsidR="00F86292">
        <w:t xml:space="preserve"> and </w:t>
      </w:r>
      <w:r w:rsidR="002723E9">
        <w:t>Wind</w:t>
      </w:r>
      <w:r>
        <w:t xml:space="preserve"> and E3</w:t>
      </w:r>
      <w:r w:rsidR="002723E9">
        <w:t xml:space="preserve"> for central PV</w:t>
      </w:r>
      <w:r>
        <w:t xml:space="preserve">. </w:t>
      </w:r>
      <w:r w:rsidR="00E7419C">
        <w:t>Figure 1</w:t>
      </w:r>
      <w:r>
        <w:t xml:space="preserve"> and 2</w:t>
      </w:r>
      <w:r w:rsidR="00E7419C">
        <w:t xml:space="preserve"> summarized the </w:t>
      </w:r>
      <w:r>
        <w:t xml:space="preserve">annualized </w:t>
      </w:r>
      <w:r w:rsidR="00E7419C">
        <w:t xml:space="preserve">capital costs </w:t>
      </w:r>
      <w:r>
        <w:t>and fixed O&amp;M costs</w:t>
      </w:r>
      <w:r w:rsidR="002723E9">
        <w:t xml:space="preserve"> in both models</w:t>
      </w:r>
      <w:r>
        <w:t xml:space="preserve">, respectively. </w:t>
      </w:r>
    </w:p>
    <w:p w14:paraId="7E04E34D" w14:textId="46F4DCAD" w:rsidR="00BB40C4" w:rsidRDefault="00BB40C4" w:rsidP="00826F13"/>
    <w:p w14:paraId="3AC2B83B" w14:textId="35BDC168" w:rsidR="00B6528E" w:rsidRDefault="00B6528E" w:rsidP="00826F13">
      <w:r>
        <w:t xml:space="preserve">For CCGT, the annualized capital costs in both models are almost identical throughout the investment periods. On the other hand, the fixed </w:t>
      </w:r>
      <w:r w:rsidR="002723E9">
        <w:t xml:space="preserve">O&amp;M </w:t>
      </w:r>
      <w:r>
        <w:t xml:space="preserve">costs </w:t>
      </w:r>
      <w:r w:rsidR="002723E9">
        <w:t>in</w:t>
      </w:r>
      <w:r>
        <w:t xml:space="preserve"> </w:t>
      </w:r>
      <w:r w:rsidR="002723E9">
        <w:t>RESOLVE</w:t>
      </w:r>
      <w:r>
        <w:t xml:space="preserve"> is 65% higher than that of SWITCH.</w:t>
      </w:r>
    </w:p>
    <w:p w14:paraId="48BB5A16" w14:textId="567BCF4A" w:rsidR="002723E9" w:rsidRDefault="002723E9" w:rsidP="00826F13"/>
    <w:p w14:paraId="66CC26CB" w14:textId="21944630" w:rsidR="002723E9" w:rsidRDefault="002723E9" w:rsidP="00826F13">
      <w:r>
        <w:t xml:space="preserve">For central PV, the annualized capital costs in SWITCH is twice as large as that in RESOLVE in 2020 and converge into the same level after 2030. </w:t>
      </w:r>
      <w:r w:rsidR="007B4FD6">
        <w:t xml:space="preserve">The source of difference in 2020 is inclusion of policy support (ITC) in RESOLVE. </w:t>
      </w:r>
      <w:r>
        <w:t>Fixed O&amp;M costs in SWITCH is five times larger than that in RESOLVE. This large deviation in fixed O&amp;M costs is from the difference in data source. SWITCH uses Black and Veatch (2012)</w:t>
      </w:r>
      <w:r w:rsidR="00F86292">
        <w:t xml:space="preserve">. The fixed O&amp;M costs </w:t>
      </w:r>
      <w:r>
        <w:t xml:space="preserve">need to be </w:t>
      </w:r>
      <w:r w:rsidR="00F86292">
        <w:t>examined</w:t>
      </w:r>
      <w:r>
        <w:t xml:space="preserve"> with latest data i</w:t>
      </w:r>
      <w:r w:rsidR="00F86292">
        <w:t>f they are appropriate</w:t>
      </w:r>
      <w:r>
        <w:t xml:space="preserve">. </w:t>
      </w:r>
    </w:p>
    <w:p w14:paraId="7B7023F2" w14:textId="181FE8D6" w:rsidR="002723E9" w:rsidRDefault="002723E9" w:rsidP="00826F13"/>
    <w:p w14:paraId="1B341F34" w14:textId="1BF9629B" w:rsidR="002723E9" w:rsidRDefault="002723E9" w:rsidP="00826F13">
      <w:r>
        <w:t xml:space="preserve">For wind, </w:t>
      </w:r>
      <w:r w:rsidR="007B4FD6">
        <w:t xml:space="preserve">SWITCH assumes wind as a mature technology and its capital costs and fixed O&amp;M costs are constant throughout the study period. Both cost components are higher in SWITCH than in RESOLVE by 35% to 80%. </w:t>
      </w:r>
    </w:p>
    <w:p w14:paraId="584964F8" w14:textId="77777777" w:rsidR="00B6528E" w:rsidRDefault="00B6528E" w:rsidP="00826F13"/>
    <w:p w14:paraId="17000E2B" w14:textId="0090902D" w:rsidR="00826F13" w:rsidRDefault="009E09C5" w:rsidP="007B4FD6">
      <w:pPr>
        <w:jc w:val="center"/>
      </w:pPr>
      <w:r w:rsidRPr="007B4FD6">
        <w:rPr>
          <w:noProof/>
          <w:sz w:val="20"/>
          <w:szCs w:val="20"/>
        </w:rPr>
        <w:lastRenderedPageBreak/>
        <w:drawing>
          <wp:inline distT="0" distB="0" distL="0" distR="0" wp14:anchorId="44F7BBD4" wp14:editId="758E3E33">
            <wp:extent cx="4572000" cy="3429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plot148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9752" w14:textId="2384B240" w:rsidR="00826F13" w:rsidRDefault="00826F13" w:rsidP="00826F13">
      <w:pPr>
        <w:jc w:val="center"/>
      </w:pPr>
    </w:p>
    <w:p w14:paraId="6B749FEB" w14:textId="2C2AB41D" w:rsidR="00826F13" w:rsidRDefault="00BB40C4" w:rsidP="00BB40C4">
      <w:pPr>
        <w:jc w:val="center"/>
      </w:pPr>
      <w:r>
        <w:t xml:space="preserve">Figure 1: </w:t>
      </w:r>
      <w:r w:rsidR="007824E4">
        <w:t>Annualized capital</w:t>
      </w:r>
      <w:r>
        <w:t xml:space="preserve"> costs, in real $20</w:t>
      </w:r>
      <w:r w:rsidR="009E09C5">
        <w:t>18</w:t>
      </w:r>
      <w:r>
        <w:t xml:space="preserve">, of </w:t>
      </w:r>
      <w:r w:rsidR="007824E4">
        <w:t xml:space="preserve">selected </w:t>
      </w:r>
      <w:r>
        <w:t>generation technologies</w:t>
      </w:r>
    </w:p>
    <w:p w14:paraId="00C1BA4A" w14:textId="77777777" w:rsidR="00BB40C4" w:rsidRDefault="00BB40C4" w:rsidP="00826F13"/>
    <w:p w14:paraId="172178B7" w14:textId="7A20BB40" w:rsidR="00841C41" w:rsidRDefault="00841C41" w:rsidP="00BB40C4">
      <w:pPr>
        <w:jc w:val="center"/>
      </w:pPr>
    </w:p>
    <w:p w14:paraId="54BC7DFC" w14:textId="5E3A1093" w:rsidR="00841C41" w:rsidRDefault="00841C41" w:rsidP="00BB40C4">
      <w:pPr>
        <w:jc w:val="center"/>
      </w:pPr>
    </w:p>
    <w:p w14:paraId="749AC40C" w14:textId="77AFB101" w:rsidR="00841C41" w:rsidRDefault="009E09C5" w:rsidP="00BB40C4">
      <w:pPr>
        <w:jc w:val="center"/>
      </w:pPr>
      <w:r>
        <w:rPr>
          <w:noProof/>
        </w:rPr>
        <w:drawing>
          <wp:inline distT="0" distB="0" distL="0" distR="0" wp14:anchorId="2A265EBD" wp14:editId="6F34F9B1">
            <wp:extent cx="4572000" cy="3429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plot14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4F30" w14:textId="77777777" w:rsidR="00841C41" w:rsidRDefault="00841C41" w:rsidP="00BB40C4">
      <w:pPr>
        <w:jc w:val="center"/>
      </w:pPr>
    </w:p>
    <w:p w14:paraId="05C1A77D" w14:textId="3DACB960" w:rsidR="00BB40C4" w:rsidRDefault="00BB40C4" w:rsidP="00BB40C4">
      <w:pPr>
        <w:jc w:val="center"/>
      </w:pPr>
      <w:r>
        <w:t xml:space="preserve">Figure 2: </w:t>
      </w:r>
      <w:r w:rsidR="007824E4">
        <w:t>Fixed O&amp;M</w:t>
      </w:r>
      <w:r>
        <w:t xml:space="preserve"> costs, in real $20</w:t>
      </w:r>
      <w:r w:rsidR="009E09C5">
        <w:t>18</w:t>
      </w:r>
      <w:r>
        <w:t xml:space="preserve">, of </w:t>
      </w:r>
      <w:r w:rsidR="007824E4">
        <w:t>selected</w:t>
      </w:r>
      <w:r>
        <w:t xml:space="preserve"> generation technologies</w:t>
      </w:r>
    </w:p>
    <w:p w14:paraId="1CB10C32" w14:textId="7B730DFC" w:rsidR="00BB40C4" w:rsidRDefault="00BB40C4" w:rsidP="00BB40C4">
      <w:pPr>
        <w:jc w:val="center"/>
      </w:pPr>
    </w:p>
    <w:p w14:paraId="07EC6719" w14:textId="77777777" w:rsidR="00BB40C4" w:rsidRDefault="00BB40C4" w:rsidP="00BB40C4">
      <w:pPr>
        <w:jc w:val="center"/>
      </w:pPr>
    </w:p>
    <w:p w14:paraId="238B2823" w14:textId="44741B9E" w:rsidR="00BB40C4" w:rsidRDefault="00BB40C4" w:rsidP="00BB40C4">
      <w:pPr>
        <w:rPr>
          <w:b/>
          <w:bCs/>
        </w:rPr>
      </w:pPr>
      <w:r w:rsidRPr="00E7419C">
        <w:rPr>
          <w:b/>
          <w:bCs/>
        </w:rPr>
        <w:t>1.3</w:t>
      </w:r>
      <w:r w:rsidRPr="00E7419C">
        <w:rPr>
          <w:b/>
          <w:bCs/>
        </w:rPr>
        <w:tab/>
      </w:r>
      <w:r w:rsidR="009E09C5">
        <w:rPr>
          <w:b/>
          <w:bCs/>
        </w:rPr>
        <w:t>Battery s</w:t>
      </w:r>
      <w:r w:rsidR="00E7419C" w:rsidRPr="00E7419C">
        <w:rPr>
          <w:b/>
          <w:bCs/>
        </w:rPr>
        <w:t>torage technologies</w:t>
      </w:r>
    </w:p>
    <w:p w14:paraId="69831C3F" w14:textId="2C277880" w:rsidR="00F32E0A" w:rsidRPr="00F32E0A" w:rsidRDefault="007824E4" w:rsidP="00BB40C4">
      <w:r>
        <w:t xml:space="preserve">In </w:t>
      </w:r>
      <w:r w:rsidR="00841C41">
        <w:t xml:space="preserve">SWITCH, </w:t>
      </w:r>
      <w:r w:rsidR="00587A99">
        <w:t>b</w:t>
      </w:r>
      <w:r w:rsidR="00F32E0A">
        <w:t>attery storage</w:t>
      </w:r>
      <w:r w:rsidR="00587A99">
        <w:t>s</w:t>
      </w:r>
      <w:r w:rsidR="00F32E0A">
        <w:t xml:space="preserve"> are assumed to decline in costs through 2050</w:t>
      </w:r>
      <w:r w:rsidR="00F86292">
        <w:t xml:space="preserve"> </w:t>
      </w:r>
      <w:r w:rsidR="00587A99">
        <w:t>based on</w:t>
      </w:r>
      <w:r w:rsidR="0003098A">
        <w:t xml:space="preserve"> the Black and Veatch projections. </w:t>
      </w:r>
      <w:r w:rsidR="00587A99">
        <w:t>Battery storage costs showed the largest disparity between SWITCH and RESOLVE model</w:t>
      </w:r>
      <w:r w:rsidR="00F86292">
        <w:t xml:space="preserve"> in the selected technologies</w:t>
      </w:r>
      <w:r w:rsidR="00587A99">
        <w:t xml:space="preserve">. </w:t>
      </w:r>
      <w:r w:rsidR="00280B66">
        <w:t xml:space="preserve">Figure 3 summarized annualized capital costs per kWh per year (left), annualized capital costs per kW per year (middle), and fixed O&amp;M costs per kW per year (right). At </w:t>
      </w:r>
      <w:r w:rsidR="00F86292">
        <w:t>most</w:t>
      </w:r>
      <w:r w:rsidR="00280B66">
        <w:t xml:space="preserve">, these costs of SWITCH are higher </w:t>
      </w:r>
      <w:r w:rsidR="00F86292">
        <w:t xml:space="preserve">than those of RESOLVE </w:t>
      </w:r>
      <w:r w:rsidR="00280B66">
        <w:t>by factor of 2, 16, and 72, respectively.</w:t>
      </w:r>
    </w:p>
    <w:p w14:paraId="61C15341" w14:textId="50A3C8F1" w:rsidR="00E7419C" w:rsidRDefault="00E7419C" w:rsidP="00BB40C4"/>
    <w:p w14:paraId="3660A7B5" w14:textId="0ED595C0" w:rsidR="00E7419C" w:rsidRDefault="00E7419C" w:rsidP="00F32E0A">
      <w:pPr>
        <w:jc w:val="center"/>
      </w:pPr>
    </w:p>
    <w:p w14:paraId="32DEAB76" w14:textId="02719DA5" w:rsidR="00587A99" w:rsidRDefault="00587A99" w:rsidP="00F32E0A">
      <w:pPr>
        <w:jc w:val="center"/>
      </w:pPr>
      <w:r>
        <w:rPr>
          <w:noProof/>
        </w:rPr>
        <w:drawing>
          <wp:inline distT="0" distB="0" distL="0" distR="0" wp14:anchorId="09619D5F" wp14:editId="76566664">
            <wp:extent cx="1783081" cy="29260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Rplot151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50"/>
                    <a:stretch/>
                  </pic:blipFill>
                  <pic:spPr bwMode="auto">
                    <a:xfrm>
                      <a:off x="0" y="0"/>
                      <a:ext cx="1783081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D78D77" wp14:editId="080E95AF">
            <wp:extent cx="1796796" cy="29260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plot150.pd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25"/>
                    <a:stretch/>
                  </pic:blipFill>
                  <pic:spPr bwMode="auto">
                    <a:xfrm>
                      <a:off x="0" y="0"/>
                      <a:ext cx="1796796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B963FC" wp14:editId="366B1CA1">
            <wp:extent cx="2194560" cy="2926080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plot149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1E47" w14:textId="250CFCFD" w:rsidR="00F32E0A" w:rsidRDefault="00F32E0A" w:rsidP="00F32E0A">
      <w:pPr>
        <w:jc w:val="center"/>
      </w:pPr>
      <w:r>
        <w:t>Figure 3: Storage costs, in real $20</w:t>
      </w:r>
      <w:r w:rsidR="00587A99">
        <w:t>18 (left: annualized capital costs [$/kWh/</w:t>
      </w:r>
      <w:proofErr w:type="spellStart"/>
      <w:r w:rsidR="00587A99">
        <w:t>yr</w:t>
      </w:r>
      <w:proofErr w:type="spellEnd"/>
      <w:r w:rsidR="00587A99">
        <w:t>], middle: annualized capital costs [$/kW/</w:t>
      </w:r>
      <w:proofErr w:type="spellStart"/>
      <w:r w:rsidR="00587A99">
        <w:t>yr</w:t>
      </w:r>
      <w:proofErr w:type="spellEnd"/>
      <w:r w:rsidR="00587A99">
        <w:t>], right: fixed O&amp;M costs [$/kW/</w:t>
      </w:r>
      <w:proofErr w:type="spellStart"/>
      <w:r w:rsidR="00587A99">
        <w:t>yr</w:t>
      </w:r>
      <w:proofErr w:type="spellEnd"/>
      <w:r w:rsidR="00587A99">
        <w:t>]</w:t>
      </w:r>
    </w:p>
    <w:p w14:paraId="562F186B" w14:textId="39232F40" w:rsidR="00841C41" w:rsidRDefault="00841C41" w:rsidP="00F32E0A">
      <w:pPr>
        <w:jc w:val="center"/>
      </w:pPr>
    </w:p>
    <w:p w14:paraId="5755267E" w14:textId="77777777" w:rsidR="00F76C40" w:rsidRDefault="00F76C40">
      <w:r>
        <w:br w:type="page"/>
      </w:r>
    </w:p>
    <w:p w14:paraId="15D8884A" w14:textId="2FD65D5E" w:rsidR="00280B66" w:rsidRDefault="00280B66" w:rsidP="00F32E0A">
      <w:pPr>
        <w:jc w:val="center"/>
      </w:pPr>
      <w:r>
        <w:lastRenderedPageBreak/>
        <w:t>Table 1: Cost</w:t>
      </w:r>
      <w:r w:rsidR="00F76C40">
        <w:t xml:space="preserve"> data</w:t>
      </w:r>
      <w:r>
        <w:t xml:space="preserve"> summary</w:t>
      </w:r>
      <w:r w:rsidR="00F76C40">
        <w:t xml:space="preserve"> for selected technologies</w:t>
      </w:r>
    </w:p>
    <w:p w14:paraId="54268F52" w14:textId="78B2A735" w:rsidR="00841C41" w:rsidRDefault="00F76C40" w:rsidP="00F32E0A">
      <w:pPr>
        <w:jc w:val="center"/>
      </w:pPr>
      <w:r>
        <w:rPr>
          <w:noProof/>
        </w:rPr>
        <w:drawing>
          <wp:inline distT="0" distB="0" distL="0" distR="0" wp14:anchorId="5C821DF8" wp14:editId="722A3EC4">
            <wp:extent cx="5943600" cy="7864475"/>
            <wp:effectExtent l="0" t="0" r="0" b="0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 Shot 2020-09-11 at 12.31.03 PM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C8BB8" w14:textId="0C5633B5" w:rsidR="00280B66" w:rsidRDefault="00280B66">
      <w:pPr>
        <w:rPr>
          <w:b/>
          <w:bCs/>
        </w:rPr>
      </w:pPr>
    </w:p>
    <w:p w14:paraId="2BC8FCFA" w14:textId="0846A7B5" w:rsidR="0003098A" w:rsidRPr="0003098A" w:rsidRDefault="0003098A" w:rsidP="0003098A">
      <w:pPr>
        <w:rPr>
          <w:b/>
          <w:bCs/>
        </w:rPr>
      </w:pPr>
      <w:r w:rsidRPr="0003098A">
        <w:rPr>
          <w:b/>
          <w:bCs/>
        </w:rPr>
        <w:t>2. Other cost-related inputs</w:t>
      </w:r>
      <w:r w:rsidR="00841C41">
        <w:rPr>
          <w:b/>
          <w:bCs/>
        </w:rPr>
        <w:t xml:space="preserve"> of SWITCH</w:t>
      </w:r>
    </w:p>
    <w:p w14:paraId="79A2DFB3" w14:textId="77777777" w:rsidR="0003098A" w:rsidRDefault="0003098A" w:rsidP="000309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8"/>
        <w:gridCol w:w="2532"/>
        <w:gridCol w:w="2378"/>
        <w:gridCol w:w="2422"/>
      </w:tblGrid>
      <w:tr w:rsidR="0003098A" w:rsidRPr="00CE2349" w14:paraId="6E0F59A1" w14:textId="77777777" w:rsidTr="0003098A">
        <w:trPr>
          <w:trHeight w:val="268"/>
        </w:trPr>
        <w:tc>
          <w:tcPr>
            <w:tcW w:w="2018" w:type="dxa"/>
            <w:shd w:val="clear" w:color="auto" w:fill="E2EFD9" w:themeFill="accent6" w:themeFillTint="33"/>
          </w:tcPr>
          <w:p w14:paraId="5047BC20" w14:textId="4487DB6E" w:rsidR="0003098A" w:rsidRPr="00CE2349" w:rsidRDefault="0003098A" w:rsidP="00E3714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Discount </w:t>
            </w:r>
            <w:r w:rsidR="00A43316">
              <w:rPr>
                <w:rFonts w:cstheme="minorHAnsi"/>
                <w:b/>
                <w:sz w:val="20"/>
                <w:szCs w:val="20"/>
              </w:rPr>
              <w:t>R</w:t>
            </w:r>
            <w:r>
              <w:rPr>
                <w:rFonts w:cstheme="minorHAnsi"/>
                <w:b/>
                <w:sz w:val="20"/>
                <w:szCs w:val="20"/>
              </w:rPr>
              <w:t>ate</w:t>
            </w:r>
          </w:p>
        </w:tc>
        <w:tc>
          <w:tcPr>
            <w:tcW w:w="7332" w:type="dxa"/>
            <w:gridSpan w:val="3"/>
            <w:shd w:val="clear" w:color="auto" w:fill="auto"/>
          </w:tcPr>
          <w:p w14:paraId="45CD3FA4" w14:textId="1E43AEED" w:rsidR="0003098A" w:rsidRPr="00A43316" w:rsidRDefault="0003098A" w:rsidP="00E37142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A43316">
              <w:rPr>
                <w:rFonts w:cstheme="minorHAnsi"/>
                <w:bCs/>
                <w:i/>
                <w:sz w:val="20"/>
                <w:szCs w:val="20"/>
              </w:rPr>
              <w:t>7%</w:t>
            </w:r>
          </w:p>
        </w:tc>
      </w:tr>
      <w:tr w:rsidR="00A43316" w:rsidRPr="00CE2349" w14:paraId="7E6C7BC4" w14:textId="77777777" w:rsidTr="00E37142">
        <w:trPr>
          <w:trHeight w:val="1106"/>
        </w:trPr>
        <w:tc>
          <w:tcPr>
            <w:tcW w:w="2018" w:type="dxa"/>
            <w:shd w:val="clear" w:color="auto" w:fill="E2EFD9" w:themeFill="accent6" w:themeFillTint="33"/>
          </w:tcPr>
          <w:p w14:paraId="5D601706" w14:textId="0811F1E8" w:rsidR="00A43316" w:rsidRDefault="00A43316" w:rsidP="00A433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Regional Economic Multiplier</w:t>
            </w:r>
          </w:p>
        </w:tc>
        <w:tc>
          <w:tcPr>
            <w:tcW w:w="7332" w:type="dxa"/>
            <w:gridSpan w:val="3"/>
            <w:shd w:val="clear" w:color="auto" w:fill="auto"/>
          </w:tcPr>
          <w:p w14:paraId="5BDEFE01" w14:textId="77777777" w:rsidR="00A43316" w:rsidRDefault="00A43316" w:rsidP="00E37142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A43316">
              <w:rPr>
                <w:rFonts w:cstheme="minorHAnsi"/>
                <w:bCs/>
                <w:i/>
                <w:sz w:val="20"/>
                <w:szCs w:val="20"/>
              </w:rPr>
              <w:t>0.88</w:t>
            </w:r>
            <w:r>
              <w:rPr>
                <w:rFonts w:cstheme="minorHAnsi"/>
                <w:bCs/>
                <w:i/>
                <w:sz w:val="20"/>
                <w:szCs w:val="20"/>
              </w:rPr>
              <w:t>-1.18</w:t>
            </w:r>
          </w:p>
          <w:p w14:paraId="2F878E57" w14:textId="42931600" w:rsidR="00A43316" w:rsidRPr="00A43316" w:rsidRDefault="00A43316" w:rsidP="00E37142">
            <w:pPr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All costs in the model are multiplied by a regional economic multiplier of nearest MSA (US Metropolitan Statistical Areas) (USDOL 2009)</w:t>
            </w:r>
          </w:p>
        </w:tc>
      </w:tr>
      <w:tr w:rsidR="00A43316" w:rsidRPr="00CE2349" w14:paraId="20DC0C53" w14:textId="77777777" w:rsidTr="00E37142">
        <w:trPr>
          <w:trHeight w:val="4207"/>
        </w:trPr>
        <w:tc>
          <w:tcPr>
            <w:tcW w:w="2018" w:type="dxa"/>
            <w:shd w:val="clear" w:color="auto" w:fill="E2EFD9" w:themeFill="accent6" w:themeFillTint="33"/>
          </w:tcPr>
          <w:p w14:paraId="53661EE7" w14:textId="69D3E368" w:rsidR="00A43316" w:rsidRDefault="00A43316" w:rsidP="00A433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Connection Cost</w:t>
            </w:r>
          </w:p>
          <w:p w14:paraId="00C80F16" w14:textId="2079298E" w:rsidR="00A43316" w:rsidRPr="00A43316" w:rsidRDefault="00A43316" w:rsidP="00A43316">
            <w:pPr>
              <w:rPr>
                <w:rFonts w:cstheme="minorHAnsi"/>
                <w:bCs/>
                <w:sz w:val="20"/>
                <w:szCs w:val="20"/>
              </w:rPr>
            </w:pPr>
            <w:r w:rsidRPr="00A43316">
              <w:rPr>
                <w:rFonts w:cstheme="minorHAnsi"/>
                <w:bCs/>
                <w:sz w:val="20"/>
                <w:szCs w:val="20"/>
              </w:rPr>
              <w:t>(USEIA 2007)</w:t>
            </w:r>
          </w:p>
          <w:p w14:paraId="20C071C3" w14:textId="6C2F0720" w:rsidR="00A43316" w:rsidRPr="00CE2349" w:rsidRDefault="00A43316" w:rsidP="0003098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auto"/>
          </w:tcPr>
          <w:p w14:paraId="78FF800C" w14:textId="77777777" w:rsidR="00A43316" w:rsidRPr="00CE2349" w:rsidRDefault="00A43316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b/>
                <w:i/>
                <w:sz w:val="20"/>
                <w:szCs w:val="20"/>
              </w:rPr>
              <w:t>Generic</w:t>
            </w:r>
          </w:p>
          <w:p w14:paraId="7CE04178" w14:textId="77777777" w:rsidR="00A43316" w:rsidRPr="00CE2349" w:rsidRDefault="00A43316" w:rsidP="00E37142">
            <w:pPr>
              <w:rPr>
                <w:rFonts w:cstheme="minorHAnsi"/>
                <w:b/>
                <w:i/>
                <w:kern w:val="20"/>
                <w:sz w:val="20"/>
                <w:szCs w:val="20"/>
                <w:lang w:val="en-GB"/>
              </w:rPr>
            </w:pPr>
            <w:r w:rsidRPr="00CE2349">
              <w:rPr>
                <w:rFonts w:cstheme="minorHAnsi"/>
                <w:i/>
                <w:sz w:val="20"/>
                <w:szCs w:val="20"/>
              </w:rPr>
              <w:t>$103,200/MW ($2013)</w:t>
            </w:r>
          </w:p>
          <w:p w14:paraId="74CCBFE0" w14:textId="25CD745B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Nuclear</w:t>
            </w:r>
          </w:p>
          <w:p w14:paraId="6DE9E105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Gas Combined Cycle</w:t>
            </w:r>
          </w:p>
          <w:p w14:paraId="406A6557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Gas Combustion Turbine</w:t>
            </w:r>
          </w:p>
          <w:p w14:paraId="4CBEA36E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Coal Steam Turbine</w:t>
            </w:r>
          </w:p>
          <w:p w14:paraId="48909138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Coal Integrated Gasification Combined Cycle</w:t>
            </w:r>
          </w:p>
          <w:p w14:paraId="6D1FFE83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Biomass Integrated Gasification Combined Cycle</w:t>
            </w:r>
          </w:p>
          <w:p w14:paraId="7F73DA60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Biogas</w:t>
            </w:r>
          </w:p>
          <w:p w14:paraId="1A8D9F92" w14:textId="77777777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Battery Storage</w:t>
            </w:r>
          </w:p>
          <w:p w14:paraId="11D8FD11" w14:textId="462F5FE8" w:rsidR="00A43316" w:rsidRPr="00CE2349" w:rsidRDefault="00A43316" w:rsidP="0003098A">
            <w:pPr>
              <w:pStyle w:val="ListParagraph"/>
              <w:numPr>
                <w:ilvl w:val="0"/>
                <w:numId w:val="2"/>
              </w:numPr>
              <w:ind w:left="290" w:hanging="180"/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Compressed Air Energy Storage</w:t>
            </w:r>
          </w:p>
        </w:tc>
        <w:tc>
          <w:tcPr>
            <w:tcW w:w="2378" w:type="dxa"/>
            <w:shd w:val="clear" w:color="auto" w:fill="auto"/>
          </w:tcPr>
          <w:p w14:paraId="3055D69F" w14:textId="77777777" w:rsidR="00A43316" w:rsidRPr="00CE2349" w:rsidRDefault="00A43316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b/>
                <w:bCs/>
                <w:i/>
                <w:sz w:val="20"/>
                <w:szCs w:val="20"/>
              </w:rPr>
              <w:t>Site-Specific</w:t>
            </w:r>
          </w:p>
          <w:p w14:paraId="68176574" w14:textId="77777777" w:rsidR="00A43316" w:rsidRPr="00CE2349" w:rsidRDefault="00A43316" w:rsidP="00E37142">
            <w:pPr>
              <w:rPr>
                <w:rFonts w:cstheme="minorHAnsi"/>
                <w:b/>
                <w:i/>
                <w:kern w:val="20"/>
                <w:sz w:val="20"/>
                <w:szCs w:val="20"/>
                <w:lang w:val="en-GB"/>
              </w:rPr>
            </w:pPr>
            <w:r w:rsidRPr="00CE2349">
              <w:rPr>
                <w:rFonts w:cstheme="minorHAnsi"/>
                <w:bCs/>
                <w:i/>
                <w:sz w:val="20"/>
                <w:szCs w:val="20"/>
              </w:rPr>
              <w:t>$</w:t>
            </w:r>
            <w:r w:rsidRPr="00CE2349">
              <w:rPr>
                <w:rFonts w:cstheme="minorHAnsi"/>
                <w:i/>
                <w:sz w:val="20"/>
                <w:szCs w:val="20"/>
              </w:rPr>
              <w:t>74,200</w:t>
            </w:r>
            <w:r w:rsidRPr="00CE2349">
              <w:rPr>
                <w:rFonts w:cstheme="minorHAnsi"/>
                <w:bCs/>
                <w:i/>
                <w:sz w:val="20"/>
                <w:szCs w:val="20"/>
              </w:rPr>
              <w:t>/MW ($2013) Substation Cost</w:t>
            </w:r>
          </w:p>
          <w:p w14:paraId="649C0F38" w14:textId="77777777" w:rsidR="00A43316" w:rsidRPr="00CE2349" w:rsidRDefault="00A43316" w:rsidP="00E37142">
            <w:pPr>
              <w:rPr>
                <w:rFonts w:cstheme="minorHAnsi"/>
                <w:i/>
                <w:sz w:val="20"/>
                <w:szCs w:val="20"/>
              </w:rPr>
            </w:pPr>
            <w:r w:rsidRPr="00CE2349">
              <w:rPr>
                <w:rFonts w:cstheme="minorHAnsi"/>
                <w:i/>
                <w:sz w:val="20"/>
                <w:szCs w:val="20"/>
              </w:rPr>
              <w:t>+ Additional Distance-Specific</w:t>
            </w:r>
          </w:p>
          <w:p w14:paraId="6E36EB53" w14:textId="77777777" w:rsidR="00A43316" w:rsidRPr="00CE2349" w:rsidRDefault="00A43316" w:rsidP="00E37142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CE2349">
              <w:rPr>
                <w:rFonts w:cstheme="minorHAnsi"/>
                <w:i/>
                <w:sz w:val="20"/>
                <w:szCs w:val="20"/>
              </w:rPr>
              <w:t xml:space="preserve">Transmission Costs </w:t>
            </w:r>
          </w:p>
          <w:p w14:paraId="4BEEB0B5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Wind</w:t>
            </w:r>
          </w:p>
          <w:p w14:paraId="1EFDFCC7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Offshore Wind</w:t>
            </w:r>
          </w:p>
          <w:p w14:paraId="10D71CC9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Central Station Photovoltaic</w:t>
            </w:r>
          </w:p>
          <w:p w14:paraId="2778113B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Solar Thermal Trough, No Thermal Storage</w:t>
            </w:r>
          </w:p>
          <w:p w14:paraId="4439BF7A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Solar Thermal Trough, 6h Thermal Storage</w:t>
            </w:r>
          </w:p>
          <w:p w14:paraId="4C7123A2" w14:textId="76738A40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23" w:hanging="180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Geothermal</w:t>
            </w:r>
          </w:p>
        </w:tc>
        <w:tc>
          <w:tcPr>
            <w:tcW w:w="2422" w:type="dxa"/>
            <w:shd w:val="clear" w:color="auto" w:fill="auto"/>
          </w:tcPr>
          <w:p w14:paraId="29A69866" w14:textId="77777777" w:rsidR="00A43316" w:rsidRPr="00CE2349" w:rsidRDefault="00A43316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b/>
                <w:i/>
                <w:sz w:val="20"/>
                <w:szCs w:val="20"/>
              </w:rPr>
              <w:t>Distributed</w:t>
            </w:r>
          </w:p>
          <w:p w14:paraId="37290686" w14:textId="4883229E" w:rsidR="00A43316" w:rsidRPr="00A43316" w:rsidRDefault="00A43316" w:rsidP="00E37142">
            <w:pPr>
              <w:rPr>
                <w:rFonts w:cstheme="minorHAnsi"/>
                <w:bCs/>
                <w:i/>
                <w:sz w:val="20"/>
                <w:szCs w:val="20"/>
              </w:rPr>
            </w:pPr>
            <w:r w:rsidRPr="00CE2349">
              <w:rPr>
                <w:rFonts w:cstheme="minorHAnsi"/>
                <w:i/>
                <w:sz w:val="20"/>
                <w:szCs w:val="20"/>
              </w:rPr>
              <w:t xml:space="preserve">$0/MW </w:t>
            </w:r>
            <w:r w:rsidRPr="00CE2349">
              <w:rPr>
                <w:rFonts w:cstheme="minorHAnsi"/>
                <w:bCs/>
                <w:i/>
                <w:sz w:val="20"/>
                <w:szCs w:val="20"/>
              </w:rPr>
              <w:t>($2013)</w:t>
            </w:r>
          </w:p>
          <w:p w14:paraId="1E432D08" w14:textId="77777777" w:rsidR="00A43316" w:rsidRPr="00CE2349" w:rsidRDefault="00A43316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i/>
                <w:sz w:val="20"/>
                <w:szCs w:val="20"/>
              </w:rPr>
              <w:t xml:space="preserve">(interconnection included </w:t>
            </w:r>
            <w:proofErr w:type="gramStart"/>
            <w:r w:rsidRPr="00CE2349">
              <w:rPr>
                <w:rFonts w:cstheme="minorHAnsi"/>
                <w:i/>
                <w:sz w:val="20"/>
                <w:szCs w:val="20"/>
              </w:rPr>
              <w:t>In</w:t>
            </w:r>
            <w:proofErr w:type="gramEnd"/>
            <w:r w:rsidRPr="00CE2349">
              <w:rPr>
                <w:rFonts w:cstheme="minorHAnsi"/>
                <w:i/>
                <w:sz w:val="20"/>
                <w:szCs w:val="20"/>
              </w:rPr>
              <w:t xml:space="preserve"> capital cost)</w:t>
            </w:r>
          </w:p>
          <w:p w14:paraId="122360A7" w14:textId="77777777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39" w:hanging="180"/>
              <w:rPr>
                <w:rFonts w:cstheme="minorHAnsi"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Residential Photovoltaic</w:t>
            </w:r>
          </w:p>
          <w:p w14:paraId="2B70C902" w14:textId="723FAADA" w:rsidR="00A43316" w:rsidRPr="00CE2349" w:rsidRDefault="00A43316" w:rsidP="0003098A">
            <w:pPr>
              <w:pStyle w:val="ListParagraph"/>
              <w:numPr>
                <w:ilvl w:val="0"/>
                <w:numId w:val="3"/>
              </w:numPr>
              <w:ind w:left="339" w:hanging="180"/>
              <w:rPr>
                <w:rFonts w:cstheme="minorHAnsi"/>
                <w:b/>
                <w:i/>
                <w:sz w:val="20"/>
                <w:szCs w:val="20"/>
              </w:rPr>
            </w:pPr>
            <w:r w:rsidRPr="00CE2349">
              <w:rPr>
                <w:rFonts w:cstheme="minorHAnsi"/>
                <w:sz w:val="20"/>
                <w:szCs w:val="20"/>
              </w:rPr>
              <w:t>Commercial Photovoltaic</w:t>
            </w:r>
          </w:p>
        </w:tc>
      </w:tr>
      <w:tr w:rsidR="00453A8A" w:rsidRPr="00CE2349" w14:paraId="3BA79CA3" w14:textId="77777777" w:rsidTr="00453A8A">
        <w:trPr>
          <w:trHeight w:val="1358"/>
        </w:trPr>
        <w:tc>
          <w:tcPr>
            <w:tcW w:w="2018" w:type="dxa"/>
            <w:shd w:val="clear" w:color="auto" w:fill="E2EFD9" w:themeFill="accent6" w:themeFillTint="33"/>
          </w:tcPr>
          <w:p w14:paraId="1591F2A3" w14:textId="77777777" w:rsidR="00453A8A" w:rsidRDefault="00453A8A" w:rsidP="00A433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Fuel Prices</w:t>
            </w:r>
          </w:p>
          <w:p w14:paraId="58C6E52D" w14:textId="307BB9C1" w:rsidR="00453A8A" w:rsidRDefault="00453A8A" w:rsidP="00A433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auto"/>
          </w:tcPr>
          <w:p w14:paraId="4124E88D" w14:textId="77777777" w:rsidR="00453A8A" w:rsidRDefault="00453A8A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Natural Gas</w:t>
            </w:r>
          </w:p>
          <w:p w14:paraId="23FA5018" w14:textId="74A4FE00" w:rsidR="00453A8A" w:rsidRDefault="00453A8A" w:rsidP="00E37142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 USEIA Annual Energy Outlook 2012</w:t>
            </w:r>
          </w:p>
          <w:p w14:paraId="6152DC11" w14:textId="74A34BFE" w:rsidR="00453A8A" w:rsidRPr="00453A8A" w:rsidRDefault="00453A8A" w:rsidP="00E37142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 Extrapolate after 2035</w:t>
            </w:r>
          </w:p>
        </w:tc>
        <w:tc>
          <w:tcPr>
            <w:tcW w:w="2378" w:type="dxa"/>
            <w:shd w:val="clear" w:color="auto" w:fill="auto"/>
          </w:tcPr>
          <w:p w14:paraId="0691710B" w14:textId="076D4779" w:rsidR="00453A8A" w:rsidRDefault="00453A8A" w:rsidP="00E37142">
            <w:p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sz w:val="20"/>
                <w:szCs w:val="20"/>
              </w:rPr>
              <w:t>Coal and fuel oil prices</w:t>
            </w:r>
          </w:p>
          <w:p w14:paraId="42D16785" w14:textId="09605916" w:rsidR="00453A8A" w:rsidRPr="00453A8A" w:rsidRDefault="00453A8A" w:rsidP="00E37142">
            <w:pPr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- </w:t>
            </w:r>
            <w:r w:rsidRPr="00453A8A">
              <w:rPr>
                <w:rFonts w:cstheme="minorHAnsi"/>
                <w:iCs/>
                <w:sz w:val="20"/>
                <w:szCs w:val="20"/>
              </w:rPr>
              <w:t>USEIA</w:t>
            </w:r>
            <w:r>
              <w:rPr>
                <w:rFonts w:cstheme="minorHAnsi"/>
                <w:iCs/>
                <w:sz w:val="20"/>
                <w:szCs w:val="20"/>
              </w:rPr>
              <w:t xml:space="preserve"> Annual Energy Outlook 2009</w:t>
            </w:r>
          </w:p>
        </w:tc>
        <w:tc>
          <w:tcPr>
            <w:tcW w:w="2422" w:type="dxa"/>
            <w:shd w:val="clear" w:color="auto" w:fill="auto"/>
          </w:tcPr>
          <w:p w14:paraId="6688BE47" w14:textId="77777777" w:rsidR="00453A8A" w:rsidRDefault="00453A8A" w:rsidP="00E37142">
            <w:p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Uranium price</w:t>
            </w:r>
          </w:p>
          <w:p w14:paraId="767D3001" w14:textId="324F5DF3" w:rsidR="00453A8A" w:rsidRPr="00453A8A" w:rsidRDefault="00453A8A" w:rsidP="00E37142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- California Energy Commission's 2007 Cost of Generation Model (Klein 2007)</w:t>
            </w:r>
          </w:p>
        </w:tc>
      </w:tr>
    </w:tbl>
    <w:p w14:paraId="6B3ADD7A" w14:textId="1FBFE0FC" w:rsidR="0003098A" w:rsidRDefault="0003098A" w:rsidP="0003098A"/>
    <w:p w14:paraId="30C4A488" w14:textId="77777777" w:rsidR="00453A8A" w:rsidRDefault="00453A8A" w:rsidP="0003098A">
      <w:pPr>
        <w:rPr>
          <w:b/>
          <w:bCs/>
        </w:rPr>
      </w:pPr>
    </w:p>
    <w:p w14:paraId="38C5312A" w14:textId="77777777" w:rsidR="00453A8A" w:rsidRDefault="00453A8A" w:rsidP="0003098A">
      <w:pPr>
        <w:rPr>
          <w:b/>
          <w:bCs/>
        </w:rPr>
      </w:pPr>
    </w:p>
    <w:p w14:paraId="7BB23DB9" w14:textId="77777777" w:rsidR="00453A8A" w:rsidRDefault="00453A8A" w:rsidP="0003098A">
      <w:pPr>
        <w:rPr>
          <w:b/>
          <w:bCs/>
        </w:rPr>
      </w:pPr>
    </w:p>
    <w:p w14:paraId="3EF0D587" w14:textId="77777777" w:rsidR="00453A8A" w:rsidRDefault="00453A8A" w:rsidP="0003098A">
      <w:pPr>
        <w:rPr>
          <w:b/>
          <w:bCs/>
        </w:rPr>
      </w:pPr>
    </w:p>
    <w:p w14:paraId="020A7636" w14:textId="77777777" w:rsidR="00453A8A" w:rsidRDefault="00453A8A" w:rsidP="0003098A">
      <w:pPr>
        <w:rPr>
          <w:b/>
          <w:bCs/>
        </w:rPr>
      </w:pPr>
    </w:p>
    <w:p w14:paraId="6234F080" w14:textId="77777777" w:rsidR="00453A8A" w:rsidRDefault="00453A8A" w:rsidP="0003098A">
      <w:pPr>
        <w:rPr>
          <w:b/>
          <w:bCs/>
        </w:rPr>
      </w:pPr>
    </w:p>
    <w:p w14:paraId="782E8D74" w14:textId="77777777" w:rsidR="00453A8A" w:rsidRDefault="00453A8A" w:rsidP="0003098A">
      <w:pPr>
        <w:rPr>
          <w:b/>
          <w:bCs/>
        </w:rPr>
      </w:pPr>
    </w:p>
    <w:p w14:paraId="66386692" w14:textId="77777777" w:rsidR="00453A8A" w:rsidRDefault="00453A8A" w:rsidP="0003098A">
      <w:pPr>
        <w:rPr>
          <w:b/>
          <w:bCs/>
        </w:rPr>
      </w:pPr>
    </w:p>
    <w:p w14:paraId="22F7981F" w14:textId="77777777" w:rsidR="00453A8A" w:rsidRDefault="00453A8A" w:rsidP="0003098A">
      <w:pPr>
        <w:rPr>
          <w:b/>
          <w:bCs/>
        </w:rPr>
      </w:pPr>
    </w:p>
    <w:p w14:paraId="2D71B9D2" w14:textId="77777777" w:rsidR="00453A8A" w:rsidRDefault="00453A8A" w:rsidP="0003098A">
      <w:pPr>
        <w:rPr>
          <w:b/>
          <w:bCs/>
        </w:rPr>
      </w:pPr>
    </w:p>
    <w:p w14:paraId="3905F0DC" w14:textId="77777777" w:rsidR="00453A8A" w:rsidRDefault="00453A8A" w:rsidP="0003098A">
      <w:pPr>
        <w:rPr>
          <w:b/>
          <w:bCs/>
        </w:rPr>
      </w:pPr>
    </w:p>
    <w:p w14:paraId="7EA033AA" w14:textId="77777777" w:rsidR="00453A8A" w:rsidRDefault="00453A8A" w:rsidP="0003098A">
      <w:pPr>
        <w:rPr>
          <w:b/>
          <w:bCs/>
        </w:rPr>
      </w:pPr>
    </w:p>
    <w:p w14:paraId="6D0F296C" w14:textId="77777777" w:rsidR="00453A8A" w:rsidRDefault="00453A8A" w:rsidP="0003098A">
      <w:pPr>
        <w:rPr>
          <w:b/>
          <w:bCs/>
        </w:rPr>
      </w:pPr>
    </w:p>
    <w:p w14:paraId="2FAAA35E" w14:textId="77777777" w:rsidR="00453A8A" w:rsidRDefault="00453A8A" w:rsidP="0003098A">
      <w:pPr>
        <w:rPr>
          <w:b/>
          <w:bCs/>
        </w:rPr>
      </w:pPr>
    </w:p>
    <w:p w14:paraId="77988BA6" w14:textId="77777777" w:rsidR="00453A8A" w:rsidRDefault="00453A8A" w:rsidP="0003098A">
      <w:pPr>
        <w:rPr>
          <w:b/>
          <w:bCs/>
        </w:rPr>
      </w:pPr>
    </w:p>
    <w:p w14:paraId="4FD7A35F" w14:textId="77777777" w:rsidR="00453A8A" w:rsidRDefault="00453A8A" w:rsidP="0003098A">
      <w:pPr>
        <w:rPr>
          <w:b/>
          <w:bCs/>
        </w:rPr>
      </w:pPr>
    </w:p>
    <w:p w14:paraId="7B7C149D" w14:textId="77777777" w:rsidR="00453A8A" w:rsidRDefault="00453A8A" w:rsidP="0003098A">
      <w:pPr>
        <w:rPr>
          <w:b/>
          <w:bCs/>
        </w:rPr>
      </w:pPr>
    </w:p>
    <w:p w14:paraId="1F26D500" w14:textId="2F38E594" w:rsidR="00A43316" w:rsidRDefault="00A43316" w:rsidP="0003098A">
      <w:pPr>
        <w:rPr>
          <w:b/>
          <w:bCs/>
        </w:rPr>
      </w:pPr>
      <w:r w:rsidRPr="00E37142">
        <w:rPr>
          <w:b/>
          <w:bCs/>
        </w:rPr>
        <w:t xml:space="preserve">3. </w:t>
      </w:r>
      <w:r w:rsidR="00E37142" w:rsidRPr="00E37142">
        <w:rPr>
          <w:b/>
          <w:bCs/>
        </w:rPr>
        <w:t>New generator and storage project parameters</w:t>
      </w:r>
      <w:r w:rsidR="00841C41">
        <w:rPr>
          <w:b/>
          <w:bCs/>
        </w:rPr>
        <w:t xml:space="preserve"> of SWITCH</w:t>
      </w:r>
    </w:p>
    <w:p w14:paraId="317780C7" w14:textId="77777777" w:rsidR="00E37142" w:rsidRDefault="00E37142" w:rsidP="0003098A">
      <w:pPr>
        <w:rPr>
          <w:b/>
          <w:bCs/>
        </w:rPr>
      </w:pPr>
    </w:p>
    <w:tbl>
      <w:tblPr>
        <w:tblStyle w:val="ListTable6Colorful-Accent6"/>
        <w:tblW w:w="9350" w:type="dxa"/>
        <w:tblLayout w:type="fixed"/>
        <w:tblLook w:val="04A0" w:firstRow="1" w:lastRow="0" w:firstColumn="1" w:lastColumn="0" w:noHBand="0" w:noVBand="1"/>
      </w:tblPr>
      <w:tblGrid>
        <w:gridCol w:w="1098"/>
        <w:gridCol w:w="1890"/>
        <w:gridCol w:w="900"/>
        <w:gridCol w:w="900"/>
        <w:gridCol w:w="1080"/>
        <w:gridCol w:w="810"/>
        <w:gridCol w:w="810"/>
        <w:gridCol w:w="990"/>
        <w:gridCol w:w="872"/>
      </w:tblGrid>
      <w:tr w:rsidR="00E37142" w:rsidRPr="00CE2349" w14:paraId="4B2E22A2" w14:textId="77777777" w:rsidTr="00181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4AB4661E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Fuel</w:t>
            </w:r>
          </w:p>
        </w:tc>
        <w:tc>
          <w:tcPr>
            <w:tcW w:w="1890" w:type="dxa"/>
            <w:noWrap/>
            <w:hideMark/>
          </w:tcPr>
          <w:p w14:paraId="05BE64B8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Technology</w:t>
            </w:r>
          </w:p>
        </w:tc>
        <w:tc>
          <w:tcPr>
            <w:tcW w:w="900" w:type="dxa"/>
            <w:noWrap/>
            <w:hideMark/>
          </w:tcPr>
          <w:p w14:paraId="742A95D2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Heat Rate (MMBtu/MWh)</w:t>
            </w:r>
          </w:p>
        </w:tc>
        <w:tc>
          <w:tcPr>
            <w:tcW w:w="900" w:type="dxa"/>
            <w:noWrap/>
            <w:hideMark/>
          </w:tcPr>
          <w:p w14:paraId="20C29539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Thermal Efficiency, Net (%)</w:t>
            </w:r>
          </w:p>
        </w:tc>
        <w:tc>
          <w:tcPr>
            <w:tcW w:w="1080" w:type="dxa"/>
            <w:noWrap/>
            <w:hideMark/>
          </w:tcPr>
          <w:p w14:paraId="63E36FF7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Construction Time (</w:t>
            </w:r>
            <w:proofErr w:type="spellStart"/>
            <w:r w:rsidRPr="00CE2349">
              <w:rPr>
                <w:rFonts w:eastAsia="Times New Roman"/>
                <w:color w:val="000000"/>
                <w:sz w:val="16"/>
                <w:szCs w:val="16"/>
              </w:rPr>
              <w:t>Yr</w:t>
            </w:r>
            <w:proofErr w:type="spellEnd"/>
            <w:r w:rsidRPr="00CE2349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noWrap/>
            <w:hideMark/>
          </w:tcPr>
          <w:p w14:paraId="274B42C7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Lifetime (</w:t>
            </w:r>
            <w:proofErr w:type="spellStart"/>
            <w:r w:rsidRPr="00CE2349">
              <w:rPr>
                <w:rFonts w:eastAsia="Times New Roman"/>
                <w:color w:val="000000"/>
                <w:sz w:val="16"/>
                <w:szCs w:val="16"/>
              </w:rPr>
              <w:t>Yr</w:t>
            </w:r>
            <w:proofErr w:type="spellEnd"/>
            <w:r w:rsidRPr="00CE2349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noWrap/>
            <w:hideMark/>
          </w:tcPr>
          <w:p w14:paraId="0D4DA34A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Forced Outage Rate (%)</w:t>
            </w:r>
          </w:p>
        </w:tc>
        <w:tc>
          <w:tcPr>
            <w:tcW w:w="990" w:type="dxa"/>
            <w:noWrap/>
            <w:hideMark/>
          </w:tcPr>
          <w:p w14:paraId="767DFCEF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Scheduled Outage Rate (%)</w:t>
            </w:r>
          </w:p>
        </w:tc>
        <w:tc>
          <w:tcPr>
            <w:tcW w:w="872" w:type="dxa"/>
            <w:noWrap/>
            <w:hideMark/>
          </w:tcPr>
          <w:p w14:paraId="5A5D5FB9" w14:textId="77777777" w:rsidR="00E37142" w:rsidRPr="00CE2349" w:rsidRDefault="00E37142" w:rsidP="00E371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Carbon Emissions (tCO</w:t>
            </w:r>
            <w:r w:rsidRPr="00CE2349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2</w:t>
            </w:r>
            <w:r w:rsidRPr="00CE2349">
              <w:rPr>
                <w:rFonts w:eastAsia="Times New Roman"/>
                <w:color w:val="000000"/>
                <w:sz w:val="16"/>
                <w:szCs w:val="16"/>
              </w:rPr>
              <w:t>/MWh)</w:t>
            </w:r>
          </w:p>
        </w:tc>
      </w:tr>
      <w:tr w:rsidR="00E37142" w:rsidRPr="00CE2349" w14:paraId="564D02A9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43F3864E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CE2349">
              <w:rPr>
                <w:rFonts w:eastAsia="Times New Roman"/>
                <w:color w:val="000000"/>
                <w:sz w:val="16"/>
                <w:szCs w:val="16"/>
              </w:rPr>
              <w:t>Bio Gas</w:t>
            </w:r>
            <w:proofErr w:type="gramEnd"/>
          </w:p>
        </w:tc>
        <w:tc>
          <w:tcPr>
            <w:tcW w:w="1890" w:type="dxa"/>
            <w:noWrap/>
            <w:hideMark/>
          </w:tcPr>
          <w:p w14:paraId="707435ED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proofErr w:type="gramStart"/>
            <w:r w:rsidRPr="00CE2349">
              <w:rPr>
                <w:rFonts w:eastAsia="Times New Roman"/>
                <w:color w:val="000000"/>
                <w:sz w:val="16"/>
                <w:szCs w:val="16"/>
              </w:rPr>
              <w:t>Bio Gas</w:t>
            </w:r>
            <w:proofErr w:type="gramEnd"/>
          </w:p>
        </w:tc>
        <w:tc>
          <w:tcPr>
            <w:tcW w:w="900" w:type="dxa"/>
            <w:noWrap/>
            <w:hideMark/>
          </w:tcPr>
          <w:p w14:paraId="3545ABE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900" w:type="dxa"/>
            <w:noWrap/>
            <w:hideMark/>
          </w:tcPr>
          <w:p w14:paraId="4CE0787C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1080" w:type="dxa"/>
            <w:noWrap/>
            <w:hideMark/>
          </w:tcPr>
          <w:p w14:paraId="5A7B166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3F17095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71CF2B7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noWrap/>
            <w:hideMark/>
          </w:tcPr>
          <w:p w14:paraId="33C39002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noWrap/>
            <w:hideMark/>
          </w:tcPr>
          <w:p w14:paraId="7078687A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761A8A9C" w14:textId="77777777" w:rsidTr="00181BC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636BEE6D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Bio Solid</w:t>
            </w:r>
          </w:p>
        </w:tc>
        <w:tc>
          <w:tcPr>
            <w:tcW w:w="1890" w:type="dxa"/>
            <w:noWrap/>
            <w:hideMark/>
          </w:tcPr>
          <w:p w14:paraId="3EA6AE0E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Biomass IGCC</w:t>
            </w:r>
          </w:p>
        </w:tc>
        <w:tc>
          <w:tcPr>
            <w:tcW w:w="900" w:type="dxa"/>
            <w:noWrap/>
            <w:hideMark/>
          </w:tcPr>
          <w:p w14:paraId="1B701C7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900" w:type="dxa"/>
            <w:noWrap/>
            <w:hideMark/>
          </w:tcPr>
          <w:p w14:paraId="3701B33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1080" w:type="dxa"/>
            <w:noWrap/>
            <w:hideMark/>
          </w:tcPr>
          <w:p w14:paraId="5745FE1B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33322E92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27316BE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2E0681F2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72" w:type="dxa"/>
            <w:noWrap/>
            <w:hideMark/>
          </w:tcPr>
          <w:p w14:paraId="4AB3FDC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1449FBCF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73447708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Bio Solid CCS</w:t>
            </w:r>
          </w:p>
        </w:tc>
        <w:tc>
          <w:tcPr>
            <w:tcW w:w="1890" w:type="dxa"/>
            <w:noWrap/>
            <w:hideMark/>
          </w:tcPr>
          <w:p w14:paraId="2497718F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Biomass IGCC CCS</w:t>
            </w:r>
          </w:p>
        </w:tc>
        <w:tc>
          <w:tcPr>
            <w:tcW w:w="900" w:type="dxa"/>
            <w:noWrap/>
            <w:hideMark/>
          </w:tcPr>
          <w:p w14:paraId="60EC33F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900" w:type="dxa"/>
            <w:noWrap/>
            <w:hideMark/>
          </w:tcPr>
          <w:p w14:paraId="609293B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1080" w:type="dxa"/>
            <w:noWrap/>
            <w:hideMark/>
          </w:tcPr>
          <w:p w14:paraId="7239155D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12F57ABD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6E725224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noWrap/>
            <w:hideMark/>
          </w:tcPr>
          <w:p w14:paraId="32C612BC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872" w:type="dxa"/>
            <w:noWrap/>
            <w:hideMark/>
          </w:tcPr>
          <w:p w14:paraId="73C98040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-1.309</w:t>
            </w:r>
          </w:p>
        </w:tc>
      </w:tr>
      <w:tr w:rsidR="00E37142" w:rsidRPr="00CE2349" w14:paraId="459CBD89" w14:textId="77777777" w:rsidTr="00181BCE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754DDEAE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1890" w:type="dxa"/>
            <w:noWrap/>
            <w:hideMark/>
          </w:tcPr>
          <w:p w14:paraId="4764B90A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IGCC</w:t>
            </w:r>
          </w:p>
        </w:tc>
        <w:tc>
          <w:tcPr>
            <w:tcW w:w="900" w:type="dxa"/>
            <w:noWrap/>
            <w:hideMark/>
          </w:tcPr>
          <w:p w14:paraId="7E1B89F9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900" w:type="dxa"/>
            <w:noWrap/>
            <w:hideMark/>
          </w:tcPr>
          <w:p w14:paraId="01891164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1080" w:type="dxa"/>
            <w:noWrap/>
            <w:hideMark/>
          </w:tcPr>
          <w:p w14:paraId="026CED98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7E37F8B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5DA0B39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7917CE3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2" w:type="dxa"/>
            <w:noWrap/>
            <w:hideMark/>
          </w:tcPr>
          <w:p w14:paraId="214DED7E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0.759</w:t>
            </w:r>
          </w:p>
        </w:tc>
      </w:tr>
      <w:tr w:rsidR="00E37142" w:rsidRPr="00CE2349" w14:paraId="16387058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2920048B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</w:t>
            </w:r>
          </w:p>
        </w:tc>
        <w:tc>
          <w:tcPr>
            <w:tcW w:w="1890" w:type="dxa"/>
            <w:noWrap/>
            <w:hideMark/>
          </w:tcPr>
          <w:p w14:paraId="4C5AFED2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Steam Turbine</w:t>
            </w:r>
          </w:p>
        </w:tc>
        <w:tc>
          <w:tcPr>
            <w:tcW w:w="900" w:type="dxa"/>
            <w:noWrap/>
            <w:hideMark/>
          </w:tcPr>
          <w:p w14:paraId="59EE8C37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900" w:type="dxa"/>
            <w:noWrap/>
            <w:hideMark/>
          </w:tcPr>
          <w:p w14:paraId="2F85F03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1080" w:type="dxa"/>
            <w:noWrap/>
            <w:hideMark/>
          </w:tcPr>
          <w:p w14:paraId="405D972B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617D2C0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1A0E04F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26E1796F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noWrap/>
            <w:hideMark/>
          </w:tcPr>
          <w:p w14:paraId="32FC5AE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0.860</w:t>
            </w:r>
          </w:p>
        </w:tc>
      </w:tr>
      <w:tr w:rsidR="00E37142" w:rsidRPr="00CE2349" w14:paraId="779A9580" w14:textId="77777777" w:rsidTr="00181BC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0E3A8F54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CCS</w:t>
            </w:r>
          </w:p>
        </w:tc>
        <w:tc>
          <w:tcPr>
            <w:tcW w:w="1890" w:type="dxa"/>
            <w:noWrap/>
            <w:hideMark/>
          </w:tcPr>
          <w:p w14:paraId="77993532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IGCC CCS</w:t>
            </w:r>
          </w:p>
        </w:tc>
        <w:tc>
          <w:tcPr>
            <w:tcW w:w="900" w:type="dxa"/>
            <w:noWrap/>
            <w:hideMark/>
          </w:tcPr>
          <w:p w14:paraId="4B9ABB65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00" w:type="dxa"/>
            <w:noWrap/>
            <w:hideMark/>
          </w:tcPr>
          <w:p w14:paraId="0A13F1D4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080" w:type="dxa"/>
            <w:noWrap/>
            <w:hideMark/>
          </w:tcPr>
          <w:p w14:paraId="3A31073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05EEA17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2EB5664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noWrap/>
            <w:hideMark/>
          </w:tcPr>
          <w:p w14:paraId="0021FBBB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2" w:type="dxa"/>
            <w:noWrap/>
            <w:hideMark/>
          </w:tcPr>
          <w:p w14:paraId="32C2D60E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0.149</w:t>
            </w:r>
          </w:p>
        </w:tc>
      </w:tr>
      <w:tr w:rsidR="00E37142" w:rsidRPr="00CE2349" w14:paraId="2A254EA3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0066437E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CCS</w:t>
            </w:r>
          </w:p>
        </w:tc>
        <w:tc>
          <w:tcPr>
            <w:tcW w:w="1890" w:type="dxa"/>
            <w:noWrap/>
            <w:hideMark/>
          </w:tcPr>
          <w:p w14:paraId="6E37F324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Coal Steam Turbine CCS</w:t>
            </w:r>
          </w:p>
        </w:tc>
        <w:tc>
          <w:tcPr>
            <w:tcW w:w="900" w:type="dxa"/>
            <w:noWrap/>
            <w:hideMark/>
          </w:tcPr>
          <w:p w14:paraId="7377990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900" w:type="dxa"/>
            <w:noWrap/>
            <w:hideMark/>
          </w:tcPr>
          <w:p w14:paraId="4E36677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1080" w:type="dxa"/>
            <w:noWrap/>
            <w:hideMark/>
          </w:tcPr>
          <w:p w14:paraId="182B92C0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5AA99FC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3863487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53DFFFC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2" w:type="dxa"/>
            <w:noWrap/>
            <w:hideMark/>
          </w:tcPr>
          <w:p w14:paraId="536378FC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0.173</w:t>
            </w:r>
          </w:p>
        </w:tc>
      </w:tr>
      <w:tr w:rsidR="00E37142" w:rsidRPr="00CE2349" w14:paraId="2012AE5C" w14:textId="77777777" w:rsidTr="00181BC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74469D0D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Gas</w:t>
            </w:r>
          </w:p>
        </w:tc>
        <w:tc>
          <w:tcPr>
            <w:tcW w:w="1890" w:type="dxa"/>
            <w:noWrap/>
            <w:hideMark/>
          </w:tcPr>
          <w:p w14:paraId="5403F3C2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CCGT</w:t>
            </w:r>
          </w:p>
        </w:tc>
        <w:tc>
          <w:tcPr>
            <w:tcW w:w="900" w:type="dxa"/>
            <w:noWrap/>
            <w:hideMark/>
          </w:tcPr>
          <w:p w14:paraId="36AB3304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900" w:type="dxa"/>
            <w:noWrap/>
            <w:hideMark/>
          </w:tcPr>
          <w:p w14:paraId="60D0FC9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1080" w:type="dxa"/>
            <w:noWrap/>
            <w:hideMark/>
          </w:tcPr>
          <w:p w14:paraId="4C77FCE9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322E435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33DB6D5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03FEE75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noWrap/>
            <w:hideMark/>
          </w:tcPr>
          <w:p w14:paraId="64FEDA89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0.356</w:t>
            </w:r>
          </w:p>
        </w:tc>
      </w:tr>
      <w:tr w:rsidR="00E37142" w:rsidRPr="00CE2349" w14:paraId="799A0916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07B7CB2E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Gas</w:t>
            </w:r>
          </w:p>
        </w:tc>
        <w:tc>
          <w:tcPr>
            <w:tcW w:w="1890" w:type="dxa"/>
            <w:noWrap/>
            <w:hideMark/>
          </w:tcPr>
          <w:p w14:paraId="30FA4954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Compressed Air Energy Storage</w:t>
            </w:r>
          </w:p>
        </w:tc>
        <w:tc>
          <w:tcPr>
            <w:tcW w:w="900" w:type="dxa"/>
            <w:noWrap/>
            <w:hideMark/>
          </w:tcPr>
          <w:p w14:paraId="0CDBD60A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900" w:type="dxa"/>
            <w:noWrap/>
            <w:hideMark/>
          </w:tcPr>
          <w:p w14:paraId="68AEEBC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69.5*</w:t>
            </w:r>
          </w:p>
        </w:tc>
        <w:tc>
          <w:tcPr>
            <w:tcW w:w="1080" w:type="dxa"/>
            <w:noWrap/>
            <w:hideMark/>
          </w:tcPr>
          <w:p w14:paraId="19987A07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098E29A0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noWrap/>
            <w:hideMark/>
          </w:tcPr>
          <w:p w14:paraId="2DDF92C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750DAF5B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noWrap/>
            <w:hideMark/>
          </w:tcPr>
          <w:p w14:paraId="290D2D92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0.261</w:t>
            </w:r>
          </w:p>
        </w:tc>
      </w:tr>
      <w:tr w:rsidR="00E37142" w:rsidRPr="00CE2349" w14:paraId="4623BFD5" w14:textId="77777777" w:rsidTr="00181BCE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255B8309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Gas</w:t>
            </w:r>
          </w:p>
        </w:tc>
        <w:tc>
          <w:tcPr>
            <w:tcW w:w="1890" w:type="dxa"/>
            <w:noWrap/>
            <w:hideMark/>
          </w:tcPr>
          <w:p w14:paraId="42BEB56E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Gas Combustion Turbine</w:t>
            </w:r>
          </w:p>
        </w:tc>
        <w:tc>
          <w:tcPr>
            <w:tcW w:w="900" w:type="dxa"/>
            <w:noWrap/>
            <w:hideMark/>
          </w:tcPr>
          <w:p w14:paraId="2943098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900" w:type="dxa"/>
            <w:noWrap/>
            <w:hideMark/>
          </w:tcPr>
          <w:p w14:paraId="0BD1BF0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1080" w:type="dxa"/>
            <w:noWrap/>
            <w:hideMark/>
          </w:tcPr>
          <w:p w14:paraId="089A963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2D8061B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31317EC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noWrap/>
            <w:hideMark/>
          </w:tcPr>
          <w:p w14:paraId="52D85A59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2" w:type="dxa"/>
            <w:noWrap/>
            <w:hideMark/>
          </w:tcPr>
          <w:p w14:paraId="510EF6E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0.551</w:t>
            </w:r>
          </w:p>
        </w:tc>
      </w:tr>
      <w:tr w:rsidR="00E37142" w:rsidRPr="00CE2349" w14:paraId="66E391CB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64833122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Gas CCS</w:t>
            </w:r>
          </w:p>
        </w:tc>
        <w:tc>
          <w:tcPr>
            <w:tcW w:w="1890" w:type="dxa"/>
            <w:noWrap/>
            <w:hideMark/>
          </w:tcPr>
          <w:p w14:paraId="1800CEA1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CCGT CCS</w:t>
            </w:r>
          </w:p>
        </w:tc>
        <w:tc>
          <w:tcPr>
            <w:tcW w:w="900" w:type="dxa"/>
            <w:noWrap/>
            <w:hideMark/>
          </w:tcPr>
          <w:p w14:paraId="7203B1D4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900" w:type="dxa"/>
            <w:noWrap/>
            <w:hideMark/>
          </w:tcPr>
          <w:p w14:paraId="12CA0CD4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1080" w:type="dxa"/>
            <w:noWrap/>
            <w:hideMark/>
          </w:tcPr>
          <w:p w14:paraId="6C5AC96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71ED4A9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3753322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0DB733DF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noWrap/>
            <w:hideMark/>
          </w:tcPr>
          <w:p w14:paraId="484DAC9B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0.080</w:t>
            </w:r>
          </w:p>
        </w:tc>
      </w:tr>
      <w:tr w:rsidR="00E37142" w:rsidRPr="00CE2349" w14:paraId="26E7DA04" w14:textId="77777777" w:rsidTr="00181BCE">
        <w:trPr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435D10A2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Geothermal</w:t>
            </w:r>
          </w:p>
        </w:tc>
        <w:tc>
          <w:tcPr>
            <w:tcW w:w="1890" w:type="dxa"/>
            <w:noWrap/>
            <w:hideMark/>
          </w:tcPr>
          <w:p w14:paraId="6453E24D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Geothermal</w:t>
            </w:r>
          </w:p>
        </w:tc>
        <w:tc>
          <w:tcPr>
            <w:tcW w:w="900" w:type="dxa"/>
            <w:noWrap/>
            <w:hideMark/>
          </w:tcPr>
          <w:p w14:paraId="011DA0C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68AEC9D6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14821021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noWrap/>
            <w:hideMark/>
          </w:tcPr>
          <w:p w14:paraId="5CB18AD1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noWrap/>
            <w:hideMark/>
          </w:tcPr>
          <w:p w14:paraId="2227630C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990" w:type="dxa"/>
            <w:noWrap/>
            <w:hideMark/>
          </w:tcPr>
          <w:p w14:paraId="5C0F8525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872" w:type="dxa"/>
            <w:noWrap/>
            <w:hideMark/>
          </w:tcPr>
          <w:p w14:paraId="5A73C8B6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1850A7CF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27A39483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Solar</w:t>
            </w:r>
          </w:p>
        </w:tc>
        <w:tc>
          <w:tcPr>
            <w:tcW w:w="1890" w:type="dxa"/>
            <w:noWrap/>
            <w:hideMark/>
          </w:tcPr>
          <w:p w14:paraId="49851CE3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Central PV</w:t>
            </w:r>
          </w:p>
        </w:tc>
        <w:tc>
          <w:tcPr>
            <w:tcW w:w="900" w:type="dxa"/>
            <w:noWrap/>
            <w:hideMark/>
          </w:tcPr>
          <w:p w14:paraId="12B20C4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538CE0A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5E92FB4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7BE846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72E9F9F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152792C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noWrap/>
            <w:hideMark/>
          </w:tcPr>
          <w:p w14:paraId="2A36EDE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57B8B7D5" w14:textId="77777777" w:rsidTr="00181BCE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69426638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Solar</w:t>
            </w:r>
          </w:p>
        </w:tc>
        <w:tc>
          <w:tcPr>
            <w:tcW w:w="1890" w:type="dxa"/>
            <w:noWrap/>
            <w:hideMark/>
          </w:tcPr>
          <w:p w14:paraId="33587120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Commercial PV</w:t>
            </w:r>
          </w:p>
        </w:tc>
        <w:tc>
          <w:tcPr>
            <w:tcW w:w="900" w:type="dxa"/>
            <w:noWrap/>
            <w:hideMark/>
          </w:tcPr>
          <w:p w14:paraId="62F898F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7611FCD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2B1EE47C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5B302B0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61F0B943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6B001ED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noWrap/>
            <w:hideMark/>
          </w:tcPr>
          <w:p w14:paraId="7EAD418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60B0B0E2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647138B9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Solar</w:t>
            </w:r>
          </w:p>
        </w:tc>
        <w:tc>
          <w:tcPr>
            <w:tcW w:w="1890" w:type="dxa"/>
            <w:noWrap/>
            <w:hideMark/>
          </w:tcPr>
          <w:p w14:paraId="669A02F2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CSP Trough 6h Storage</w:t>
            </w:r>
          </w:p>
        </w:tc>
        <w:tc>
          <w:tcPr>
            <w:tcW w:w="900" w:type="dxa"/>
            <w:noWrap/>
            <w:hideMark/>
          </w:tcPr>
          <w:p w14:paraId="3D6FF3C7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0AE7E86C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7DCC238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1B7B663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680CBE6B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4BF1ED6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1B2E77A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15479344" w14:textId="77777777" w:rsidTr="00181BCE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757EB3ED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Solar</w:t>
            </w:r>
          </w:p>
        </w:tc>
        <w:tc>
          <w:tcPr>
            <w:tcW w:w="1890" w:type="dxa"/>
            <w:noWrap/>
            <w:hideMark/>
          </w:tcPr>
          <w:p w14:paraId="18C98589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CSP Trough No Storage</w:t>
            </w:r>
          </w:p>
        </w:tc>
        <w:tc>
          <w:tcPr>
            <w:tcW w:w="900" w:type="dxa"/>
            <w:noWrap/>
            <w:hideMark/>
          </w:tcPr>
          <w:p w14:paraId="061484C2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5C35AB7D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1200D04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4442DC8E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5414063B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noWrap/>
            <w:hideMark/>
          </w:tcPr>
          <w:p w14:paraId="1F3FECB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noWrap/>
            <w:hideMark/>
          </w:tcPr>
          <w:p w14:paraId="7267DAF3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2DA7A7BF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75E95C42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Solar</w:t>
            </w:r>
          </w:p>
        </w:tc>
        <w:tc>
          <w:tcPr>
            <w:tcW w:w="1890" w:type="dxa"/>
            <w:noWrap/>
            <w:hideMark/>
          </w:tcPr>
          <w:p w14:paraId="148557E6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Residential PV</w:t>
            </w:r>
          </w:p>
        </w:tc>
        <w:tc>
          <w:tcPr>
            <w:tcW w:w="900" w:type="dxa"/>
            <w:noWrap/>
            <w:hideMark/>
          </w:tcPr>
          <w:p w14:paraId="5A89D936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755ED17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5196D52A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noWrap/>
            <w:hideMark/>
          </w:tcPr>
          <w:p w14:paraId="227C8DB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0" w:type="dxa"/>
            <w:noWrap/>
            <w:hideMark/>
          </w:tcPr>
          <w:p w14:paraId="1F567191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noWrap/>
            <w:hideMark/>
          </w:tcPr>
          <w:p w14:paraId="524F7C59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noWrap/>
            <w:hideMark/>
          </w:tcPr>
          <w:p w14:paraId="4E6256C5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203A8D58" w14:textId="77777777" w:rsidTr="00181BCE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</w:tcPr>
          <w:p w14:paraId="13DB1E9C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Storage</w:t>
            </w:r>
          </w:p>
        </w:tc>
        <w:tc>
          <w:tcPr>
            <w:tcW w:w="1890" w:type="dxa"/>
            <w:noWrap/>
          </w:tcPr>
          <w:p w14:paraId="58320071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Battery Storage</w:t>
            </w:r>
          </w:p>
        </w:tc>
        <w:tc>
          <w:tcPr>
            <w:tcW w:w="900" w:type="dxa"/>
            <w:noWrap/>
          </w:tcPr>
          <w:p w14:paraId="1147CA9E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</w:tcPr>
          <w:p w14:paraId="0A34C18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</w:tcPr>
          <w:p w14:paraId="24F11F6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noWrap/>
          </w:tcPr>
          <w:p w14:paraId="514D7CB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noWrap/>
          </w:tcPr>
          <w:p w14:paraId="24B66654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noWrap/>
          </w:tcPr>
          <w:p w14:paraId="048062EF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72" w:type="dxa"/>
            <w:noWrap/>
          </w:tcPr>
          <w:p w14:paraId="4C602A10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4E4A939A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014D212B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Uranium</w:t>
            </w:r>
          </w:p>
        </w:tc>
        <w:tc>
          <w:tcPr>
            <w:tcW w:w="1890" w:type="dxa"/>
            <w:noWrap/>
            <w:hideMark/>
          </w:tcPr>
          <w:p w14:paraId="06FE2AF1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Nuclear</w:t>
            </w:r>
          </w:p>
        </w:tc>
        <w:tc>
          <w:tcPr>
            <w:tcW w:w="900" w:type="dxa"/>
            <w:noWrap/>
            <w:hideMark/>
          </w:tcPr>
          <w:p w14:paraId="5FC21B7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900" w:type="dxa"/>
            <w:noWrap/>
            <w:hideMark/>
          </w:tcPr>
          <w:p w14:paraId="34A5A21A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1080" w:type="dxa"/>
            <w:noWrap/>
            <w:hideMark/>
          </w:tcPr>
          <w:p w14:paraId="5148A23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noWrap/>
            <w:hideMark/>
          </w:tcPr>
          <w:p w14:paraId="6A8367CD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0" w:type="dxa"/>
            <w:noWrap/>
            <w:hideMark/>
          </w:tcPr>
          <w:p w14:paraId="4E32052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noWrap/>
            <w:hideMark/>
          </w:tcPr>
          <w:p w14:paraId="6FFD8A27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noWrap/>
            <w:hideMark/>
          </w:tcPr>
          <w:p w14:paraId="6CA9EF34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4E7C74E6" w14:textId="77777777" w:rsidTr="00181BCE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1E0D6293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Wind</w:t>
            </w:r>
          </w:p>
        </w:tc>
        <w:tc>
          <w:tcPr>
            <w:tcW w:w="1890" w:type="dxa"/>
            <w:noWrap/>
            <w:hideMark/>
          </w:tcPr>
          <w:p w14:paraId="028B5CE6" w14:textId="77777777" w:rsidR="00E37142" w:rsidRPr="00CE2349" w:rsidRDefault="00E37142" w:rsidP="00E371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Offshore Wind</w:t>
            </w:r>
          </w:p>
        </w:tc>
        <w:tc>
          <w:tcPr>
            <w:tcW w:w="900" w:type="dxa"/>
            <w:noWrap/>
            <w:hideMark/>
          </w:tcPr>
          <w:p w14:paraId="37779F93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033190D7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1F8E48B2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30879E2C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noWrap/>
            <w:hideMark/>
          </w:tcPr>
          <w:p w14:paraId="5DCBCFBB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6EED194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72" w:type="dxa"/>
            <w:noWrap/>
            <w:hideMark/>
          </w:tcPr>
          <w:p w14:paraId="18F01C5A" w14:textId="77777777" w:rsidR="00E37142" w:rsidRPr="00CE2349" w:rsidRDefault="00E37142" w:rsidP="00E3714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  <w:tr w:rsidR="00E37142" w:rsidRPr="00CE2349" w14:paraId="41065327" w14:textId="77777777" w:rsidTr="00181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noWrap/>
            <w:hideMark/>
          </w:tcPr>
          <w:p w14:paraId="179D6AFB" w14:textId="77777777" w:rsidR="00E37142" w:rsidRPr="00CE2349" w:rsidRDefault="00E37142" w:rsidP="00E37142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Wind</w:t>
            </w:r>
          </w:p>
        </w:tc>
        <w:tc>
          <w:tcPr>
            <w:tcW w:w="1890" w:type="dxa"/>
            <w:noWrap/>
            <w:hideMark/>
          </w:tcPr>
          <w:p w14:paraId="0D1DE758" w14:textId="77777777" w:rsidR="00E37142" w:rsidRPr="00CE2349" w:rsidRDefault="00E37142" w:rsidP="00E37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Wind</w:t>
            </w:r>
          </w:p>
        </w:tc>
        <w:tc>
          <w:tcPr>
            <w:tcW w:w="900" w:type="dxa"/>
            <w:noWrap/>
            <w:hideMark/>
          </w:tcPr>
          <w:p w14:paraId="4F40CB5F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noWrap/>
            <w:hideMark/>
          </w:tcPr>
          <w:p w14:paraId="03C6E264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noWrap/>
            <w:hideMark/>
          </w:tcPr>
          <w:p w14:paraId="7FE7D8DC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noWrap/>
            <w:hideMark/>
          </w:tcPr>
          <w:p w14:paraId="7C777B83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0" w:type="dxa"/>
            <w:noWrap/>
            <w:hideMark/>
          </w:tcPr>
          <w:p w14:paraId="0ECA39B8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7F14F552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872" w:type="dxa"/>
            <w:noWrap/>
            <w:hideMark/>
          </w:tcPr>
          <w:p w14:paraId="621454CE" w14:textId="77777777" w:rsidR="00E37142" w:rsidRPr="00CE2349" w:rsidRDefault="00E37142" w:rsidP="00E3714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00CE2349">
              <w:rPr>
                <w:rFonts w:eastAsia="Times New Roman"/>
                <w:color w:val="000000"/>
                <w:sz w:val="16"/>
                <w:szCs w:val="16"/>
              </w:rPr>
              <w:t>0</w:t>
            </w:r>
          </w:p>
        </w:tc>
      </w:tr>
    </w:tbl>
    <w:p w14:paraId="5248B77F" w14:textId="50942324" w:rsidR="00E37142" w:rsidRDefault="00E37142" w:rsidP="0003098A">
      <w:pPr>
        <w:rPr>
          <w:b/>
          <w:bCs/>
        </w:rPr>
      </w:pPr>
    </w:p>
    <w:p w14:paraId="4D84102F" w14:textId="35F0F565" w:rsidR="00AA4597" w:rsidRPr="00841C41" w:rsidRDefault="00453A8A" w:rsidP="0003098A">
      <w:pPr>
        <w:rPr>
          <w:b/>
          <w:bCs/>
        </w:rPr>
      </w:pPr>
      <w:r>
        <w:rPr>
          <w:b/>
          <w:bCs/>
        </w:rPr>
        <w:br w:type="page"/>
      </w:r>
    </w:p>
    <w:p w14:paraId="3143CC5F" w14:textId="1D9B3F4F" w:rsidR="00AA4597" w:rsidRDefault="00AA4597" w:rsidP="0003098A">
      <w:pPr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References</w:t>
      </w:r>
    </w:p>
    <w:p w14:paraId="67D879D6" w14:textId="7BB9C803" w:rsidR="00925200" w:rsidRDefault="00925200" w:rsidP="0003098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213B0BB6" w14:textId="713CF8E4" w:rsidR="00B5176E" w:rsidRDefault="00B5176E" w:rsidP="0003098A">
      <w:pPr>
        <w:rPr>
          <w:b/>
          <w:bCs/>
          <w:lang w:val="en-GB"/>
        </w:rPr>
      </w:pPr>
    </w:p>
    <w:p w14:paraId="4B25305F" w14:textId="77777777" w:rsidR="00B5176E" w:rsidRDefault="00B5176E" w:rsidP="0003098A">
      <w:pPr>
        <w:rPr>
          <w:b/>
          <w:bCs/>
          <w:lang w:val="en-GB"/>
        </w:rPr>
      </w:pPr>
    </w:p>
    <w:p w14:paraId="361F55E0" w14:textId="39DA1A1C" w:rsidR="00AA4597" w:rsidRDefault="00AA4597" w:rsidP="00AA4597">
      <w:pPr>
        <w:pStyle w:val="EndnoteText"/>
        <w:jc w:val="left"/>
        <w:rPr>
          <w:rFonts w:asciiTheme="minorHAnsi" w:hAnsiTheme="minorHAnsi" w:cs="Calibri"/>
          <w:color w:val="FF0000"/>
        </w:rPr>
      </w:pPr>
      <w:r w:rsidRPr="00CE2349">
        <w:rPr>
          <w:rFonts w:asciiTheme="minorHAnsi" w:hAnsiTheme="minorHAnsi" w:cstheme="minorHAnsi"/>
          <w:iCs/>
        </w:rPr>
        <w:t xml:space="preserve">Black </w:t>
      </w:r>
      <w:proofErr w:type="gramStart"/>
      <w:r w:rsidRPr="00CE2349">
        <w:rPr>
          <w:rFonts w:asciiTheme="minorHAnsi" w:hAnsiTheme="minorHAnsi" w:cstheme="minorHAnsi"/>
          <w:iCs/>
        </w:rPr>
        <w:t>and  Veatch</w:t>
      </w:r>
      <w:proofErr w:type="gramEnd"/>
      <w:r w:rsidRPr="00CE2349">
        <w:rPr>
          <w:rFonts w:asciiTheme="minorHAnsi" w:hAnsiTheme="minorHAnsi" w:cstheme="minorHAnsi"/>
          <w:iCs/>
        </w:rPr>
        <w:t xml:space="preserve">, 2012. </w:t>
      </w:r>
      <w:r w:rsidRPr="00CE2349">
        <w:rPr>
          <w:rFonts w:asciiTheme="minorHAnsi" w:hAnsiTheme="minorHAnsi" w:cs="Calibri"/>
        </w:rPr>
        <w:t xml:space="preserve">Cost and performance data for power generation technologies. Overland Park, KS, 2012; </w:t>
      </w:r>
      <w:hyperlink r:id="rId13" w:history="1">
        <w:r w:rsidRPr="00CE2349">
          <w:rPr>
            <w:rStyle w:val="Hyperlink"/>
            <w:rFonts w:asciiTheme="minorHAnsi" w:hAnsiTheme="minorHAnsi" w:cs="Calibri"/>
          </w:rPr>
          <w:t>http://bv.com/docs/reports-studies/nrel-cost-report.pdf</w:t>
        </w:r>
      </w:hyperlink>
      <w:r w:rsidRPr="00AA4597">
        <w:rPr>
          <w:rFonts w:asciiTheme="minorHAnsi" w:hAnsiTheme="minorHAnsi" w:cs="Calibri"/>
          <w:color w:val="FF0000"/>
        </w:rPr>
        <w:t>. (th</w:t>
      </w:r>
      <w:r>
        <w:rPr>
          <w:rFonts w:asciiTheme="minorHAnsi" w:hAnsiTheme="minorHAnsi" w:cs="Calibri"/>
          <w:color w:val="FF0000"/>
        </w:rPr>
        <w:t>is</w:t>
      </w:r>
      <w:r w:rsidRPr="00AA4597">
        <w:rPr>
          <w:rFonts w:asciiTheme="minorHAnsi" w:hAnsiTheme="minorHAnsi" w:cs="Calibri"/>
          <w:color w:val="FF0000"/>
        </w:rPr>
        <w:t xml:space="preserve"> link is expired)</w:t>
      </w:r>
    </w:p>
    <w:p w14:paraId="7F286462" w14:textId="77777777" w:rsidR="00453A8A" w:rsidRDefault="00453A8A" w:rsidP="00AA4597">
      <w:pPr>
        <w:pStyle w:val="EndnoteText"/>
        <w:jc w:val="left"/>
        <w:rPr>
          <w:rFonts w:asciiTheme="minorHAnsi" w:hAnsiTheme="minorHAnsi" w:cs="Calibri"/>
          <w:color w:val="FF0000"/>
        </w:rPr>
      </w:pPr>
    </w:p>
    <w:p w14:paraId="6000163D" w14:textId="6B0011B6" w:rsidR="00453A8A" w:rsidRPr="00453A8A" w:rsidRDefault="00453A8A" w:rsidP="00453A8A">
      <w:pPr>
        <w:widowControl w:val="0"/>
        <w:autoSpaceDE w:val="0"/>
        <w:autoSpaceDN w:val="0"/>
        <w:adjustRightInd w:val="0"/>
        <w:spacing w:after="380"/>
        <w:contextualSpacing/>
        <w:rPr>
          <w:rFonts w:cstheme="minorHAnsi"/>
        </w:rPr>
      </w:pPr>
      <w:r w:rsidRPr="00CE2349">
        <w:rPr>
          <w:rFonts w:cstheme="minorHAnsi"/>
        </w:rPr>
        <w:t>Klein, J., 20</w:t>
      </w:r>
      <w:r>
        <w:rPr>
          <w:rFonts w:cstheme="minorHAnsi"/>
        </w:rPr>
        <w:t>07</w:t>
      </w:r>
      <w:r w:rsidRPr="00CE2349">
        <w:rPr>
          <w:rFonts w:cstheme="minorHAnsi"/>
        </w:rPr>
        <w:t xml:space="preserve">. Comparative costs of California central station electricity generation technologies: cost of generation model. California Energy Commission, Sacramento, CA, 2007; </w:t>
      </w:r>
      <w:hyperlink r:id="rId14" w:history="1">
        <w:r w:rsidRPr="00CE2349">
          <w:rPr>
            <w:rStyle w:val="Hyperlink"/>
            <w:rFonts w:cstheme="minorHAnsi"/>
          </w:rPr>
          <w:t>http://www.energy.ca.gov/2007publications/CEC-200-2007-011/CEC-200-2007-011-SD.PDF</w:t>
        </w:r>
      </w:hyperlink>
    </w:p>
    <w:p w14:paraId="6CF28B6F" w14:textId="6CBD9BED" w:rsidR="00AA4597" w:rsidRDefault="00AA4597" w:rsidP="00AA4597"/>
    <w:p w14:paraId="4113D71F" w14:textId="24970480" w:rsidR="00B5176E" w:rsidRDefault="00B5176E" w:rsidP="00AA4597">
      <w:proofErr w:type="spellStart"/>
      <w:r>
        <w:t>Mileva</w:t>
      </w:r>
      <w:proofErr w:type="spellEnd"/>
      <w:r>
        <w:t xml:space="preserve">, A., et al. 2016. Power system balancing for deep decarbonization of the electric power sector. </w:t>
      </w:r>
      <w:r w:rsidRPr="00B5176E">
        <w:rPr>
          <w:i/>
          <w:iCs/>
        </w:rPr>
        <w:t>Applied Energy</w:t>
      </w:r>
      <w:r>
        <w:t>, 162, 1001-1009</w:t>
      </w:r>
    </w:p>
    <w:p w14:paraId="30E5257F" w14:textId="77777777" w:rsidR="00B5176E" w:rsidRPr="00CE2349" w:rsidRDefault="00B5176E" w:rsidP="00AA4597"/>
    <w:p w14:paraId="2FDC04C1" w14:textId="37865B1D" w:rsidR="00AA4597" w:rsidRDefault="00AA4597" w:rsidP="00AA4597">
      <w:proofErr w:type="spellStart"/>
      <w:r w:rsidRPr="00CE2349">
        <w:t>McGowin</w:t>
      </w:r>
      <w:proofErr w:type="spellEnd"/>
      <w:r w:rsidRPr="00CE2349">
        <w:t xml:space="preserve">, C., 2007. </w:t>
      </w:r>
      <w:r w:rsidRPr="00CE2349">
        <w:rPr>
          <w:rFonts w:cs="Times"/>
          <w:i/>
          <w:iCs/>
        </w:rPr>
        <w:t>Renewable Energy Technical Assessment Guide</w:t>
      </w:r>
      <w:r w:rsidRPr="00CE2349">
        <w:t>. TAG-RE:2007. Palo Alto, CA: Electric Power Research Institute.</w:t>
      </w:r>
    </w:p>
    <w:p w14:paraId="386231A4" w14:textId="77777777" w:rsidR="00AA4597" w:rsidRDefault="00AA4597" w:rsidP="00AA4597"/>
    <w:p w14:paraId="52C49E48" w14:textId="11E22E09" w:rsidR="00AA4597" w:rsidRPr="00AA4597" w:rsidRDefault="00AA4597" w:rsidP="00AA4597">
      <w:pPr>
        <w:widowControl w:val="0"/>
        <w:autoSpaceDE w:val="0"/>
        <w:autoSpaceDN w:val="0"/>
        <w:adjustRightInd w:val="0"/>
        <w:contextualSpacing/>
        <w:rPr>
          <w:rFonts w:cstheme="minorHAnsi"/>
          <w:bCs/>
        </w:rPr>
      </w:pPr>
      <w:r w:rsidRPr="00CE2349">
        <w:rPr>
          <w:rFonts w:cstheme="minorHAnsi"/>
          <w:bCs/>
        </w:rPr>
        <w:t>United States Department of Labor, 2009. Occupational pay comparisons among metropolitan areas. Bureau of Labor Statistics, Washington, DC, 2009.</w:t>
      </w:r>
    </w:p>
    <w:p w14:paraId="4950506E" w14:textId="77777777" w:rsidR="00AA4597" w:rsidRPr="00CE2349" w:rsidRDefault="00AA4597" w:rsidP="00AA4597">
      <w:pPr>
        <w:widowControl w:val="0"/>
        <w:autoSpaceDE w:val="0"/>
        <w:autoSpaceDN w:val="0"/>
        <w:adjustRightInd w:val="0"/>
        <w:contextualSpacing/>
        <w:rPr>
          <w:rFonts w:cstheme="minorHAnsi"/>
          <w:bCs/>
        </w:rPr>
      </w:pPr>
    </w:p>
    <w:p w14:paraId="292A6042" w14:textId="560623CF" w:rsidR="00AA4597" w:rsidRDefault="00AA4597" w:rsidP="00AA4597">
      <w:pPr>
        <w:widowControl w:val="0"/>
        <w:autoSpaceDE w:val="0"/>
        <w:autoSpaceDN w:val="0"/>
        <w:adjustRightInd w:val="0"/>
        <w:spacing w:after="380"/>
        <w:contextualSpacing/>
        <w:rPr>
          <w:rFonts w:cstheme="minorHAnsi"/>
        </w:rPr>
      </w:pPr>
      <w:r w:rsidRPr="00CE2349">
        <w:rPr>
          <w:rFonts w:cstheme="minorHAnsi"/>
        </w:rPr>
        <w:t>United States Energy Information Administration, 2007a. Form EIA-860 database annual electric generator report. Washington, DC, 2007.</w:t>
      </w:r>
    </w:p>
    <w:p w14:paraId="4498B249" w14:textId="77777777" w:rsidR="00453A8A" w:rsidRDefault="00453A8A" w:rsidP="00AA4597">
      <w:pPr>
        <w:widowControl w:val="0"/>
        <w:autoSpaceDE w:val="0"/>
        <w:autoSpaceDN w:val="0"/>
        <w:adjustRightInd w:val="0"/>
        <w:spacing w:after="380"/>
        <w:contextualSpacing/>
        <w:rPr>
          <w:rFonts w:cstheme="minorHAnsi"/>
        </w:rPr>
      </w:pPr>
    </w:p>
    <w:p w14:paraId="7BA4AD21" w14:textId="77777777" w:rsidR="00453A8A" w:rsidRPr="00CE2349" w:rsidRDefault="00453A8A" w:rsidP="00453A8A">
      <w:pPr>
        <w:widowControl w:val="0"/>
        <w:autoSpaceDE w:val="0"/>
        <w:autoSpaceDN w:val="0"/>
        <w:adjustRightInd w:val="0"/>
        <w:spacing w:after="380"/>
        <w:contextualSpacing/>
        <w:rPr>
          <w:rFonts w:cstheme="minorHAnsi"/>
        </w:rPr>
      </w:pPr>
      <w:r w:rsidRPr="00CE2349">
        <w:rPr>
          <w:rFonts w:cstheme="minorHAnsi"/>
        </w:rPr>
        <w:t>United States Energy Information Administration, 2012. Annual energy outlook 2012. Washington, DC, 2012.</w:t>
      </w:r>
    </w:p>
    <w:p w14:paraId="0333F758" w14:textId="77777777" w:rsidR="00453A8A" w:rsidRPr="00CE2349" w:rsidRDefault="00453A8A" w:rsidP="00AA4597">
      <w:pPr>
        <w:widowControl w:val="0"/>
        <w:autoSpaceDE w:val="0"/>
        <w:autoSpaceDN w:val="0"/>
        <w:adjustRightInd w:val="0"/>
        <w:spacing w:after="380"/>
        <w:contextualSpacing/>
        <w:rPr>
          <w:rFonts w:cstheme="minorHAnsi"/>
        </w:rPr>
      </w:pPr>
    </w:p>
    <w:p w14:paraId="0263CA30" w14:textId="77777777" w:rsidR="00AA4597" w:rsidRPr="00CE2349" w:rsidRDefault="00AA4597" w:rsidP="00AA4597">
      <w:pPr>
        <w:rPr>
          <w:rFonts w:cs="Times"/>
        </w:rPr>
      </w:pPr>
    </w:p>
    <w:p w14:paraId="3D5D5581" w14:textId="77777777" w:rsidR="00AA4597" w:rsidRDefault="00AA4597" w:rsidP="00AA4597">
      <w:pPr>
        <w:pStyle w:val="EndnoteText"/>
        <w:jc w:val="left"/>
        <w:rPr>
          <w:rFonts w:asciiTheme="minorHAnsi" w:hAnsiTheme="minorHAnsi" w:cs="Calibri"/>
          <w:color w:val="FF0000"/>
        </w:rPr>
      </w:pPr>
    </w:p>
    <w:p w14:paraId="560B2B23" w14:textId="77777777" w:rsidR="00AA4597" w:rsidRPr="00AA4597" w:rsidRDefault="00AA4597" w:rsidP="00AA4597">
      <w:pPr>
        <w:pStyle w:val="EndnoteText"/>
        <w:jc w:val="left"/>
        <w:rPr>
          <w:rFonts w:asciiTheme="minorHAnsi" w:hAnsiTheme="minorHAnsi" w:cs="Calibri"/>
          <w:color w:val="FF0000"/>
        </w:rPr>
      </w:pPr>
    </w:p>
    <w:p w14:paraId="7FC2F6F8" w14:textId="77777777" w:rsidR="00AA4597" w:rsidRPr="00AA4597" w:rsidRDefault="00AA4597" w:rsidP="0003098A">
      <w:pPr>
        <w:rPr>
          <w:b/>
          <w:bCs/>
        </w:rPr>
      </w:pPr>
    </w:p>
    <w:sectPr w:rsidR="00AA4597" w:rsidRPr="00AA4597" w:rsidSect="00BD129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036E4" w14:textId="77777777" w:rsidR="00630146" w:rsidRDefault="00630146" w:rsidP="00F32E0A">
      <w:r>
        <w:separator/>
      </w:r>
    </w:p>
  </w:endnote>
  <w:endnote w:type="continuationSeparator" w:id="0">
    <w:p w14:paraId="255D5F7B" w14:textId="77777777" w:rsidR="00630146" w:rsidRDefault="00630146" w:rsidP="00F3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96290591"/>
      <w:docPartObj>
        <w:docPartGallery w:val="Page Numbers (Bottom of Page)"/>
        <w:docPartUnique/>
      </w:docPartObj>
    </w:sdtPr>
    <w:sdtContent>
      <w:p w14:paraId="1B44A004" w14:textId="5F176C8C" w:rsidR="006C375A" w:rsidRDefault="006C375A" w:rsidP="00E3714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326475" w14:textId="77777777" w:rsidR="006C375A" w:rsidRDefault="006C3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31323231"/>
      <w:docPartObj>
        <w:docPartGallery w:val="Page Numbers (Bottom of Page)"/>
        <w:docPartUnique/>
      </w:docPartObj>
    </w:sdtPr>
    <w:sdtContent>
      <w:p w14:paraId="2E98FF8B" w14:textId="2C2D2ACE" w:rsidR="006C375A" w:rsidRDefault="006C375A" w:rsidP="00E3714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40A8D0" w14:textId="77777777" w:rsidR="006C375A" w:rsidRDefault="006C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6F8C8" w14:textId="77777777" w:rsidR="00630146" w:rsidRDefault="00630146" w:rsidP="00F32E0A">
      <w:r>
        <w:separator/>
      </w:r>
    </w:p>
  </w:footnote>
  <w:footnote w:type="continuationSeparator" w:id="0">
    <w:p w14:paraId="6F5DEE70" w14:textId="77777777" w:rsidR="00630146" w:rsidRDefault="00630146" w:rsidP="00F3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74B35"/>
    <w:multiLevelType w:val="hybridMultilevel"/>
    <w:tmpl w:val="D0D4D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7CD9"/>
    <w:multiLevelType w:val="hybridMultilevel"/>
    <w:tmpl w:val="A4CCC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4AA1"/>
    <w:multiLevelType w:val="hybridMultilevel"/>
    <w:tmpl w:val="B7524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13"/>
    <w:rsid w:val="0003098A"/>
    <w:rsid w:val="000C270A"/>
    <w:rsid w:val="000C753D"/>
    <w:rsid w:val="00181BCE"/>
    <w:rsid w:val="00226A0A"/>
    <w:rsid w:val="002723E9"/>
    <w:rsid w:val="00280B66"/>
    <w:rsid w:val="00453A8A"/>
    <w:rsid w:val="00494AD4"/>
    <w:rsid w:val="00587A99"/>
    <w:rsid w:val="00630146"/>
    <w:rsid w:val="00636D8C"/>
    <w:rsid w:val="006C375A"/>
    <w:rsid w:val="007824E4"/>
    <w:rsid w:val="007B4FD6"/>
    <w:rsid w:val="00826F13"/>
    <w:rsid w:val="00841C41"/>
    <w:rsid w:val="00925200"/>
    <w:rsid w:val="009E09C5"/>
    <w:rsid w:val="00A202FF"/>
    <w:rsid w:val="00A43316"/>
    <w:rsid w:val="00A8650B"/>
    <w:rsid w:val="00AA4597"/>
    <w:rsid w:val="00B5176E"/>
    <w:rsid w:val="00B63FD1"/>
    <w:rsid w:val="00B6528E"/>
    <w:rsid w:val="00BB40C4"/>
    <w:rsid w:val="00BD1297"/>
    <w:rsid w:val="00C16738"/>
    <w:rsid w:val="00DA4012"/>
    <w:rsid w:val="00E37142"/>
    <w:rsid w:val="00E7419C"/>
    <w:rsid w:val="00F32E0A"/>
    <w:rsid w:val="00F76C40"/>
    <w:rsid w:val="00F82658"/>
    <w:rsid w:val="00F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B1913"/>
  <w15:chartTrackingRefBased/>
  <w15:docId w15:val="{6081A9DA-7285-C740-994A-BD77A8A5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6F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0A"/>
  </w:style>
  <w:style w:type="character" w:styleId="PageNumber">
    <w:name w:val="page number"/>
    <w:basedOn w:val="DefaultParagraphFont"/>
    <w:uiPriority w:val="99"/>
    <w:semiHidden/>
    <w:unhideWhenUsed/>
    <w:rsid w:val="00F32E0A"/>
  </w:style>
  <w:style w:type="table" w:styleId="MediumShading1-Accent3">
    <w:name w:val="Medium Shading 1 Accent 3"/>
    <w:basedOn w:val="TableNormal"/>
    <w:uiPriority w:val="63"/>
    <w:rsid w:val="00E37142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ption">
    <w:name w:val="caption"/>
    <w:basedOn w:val="Normal"/>
    <w:next w:val="Normal"/>
    <w:autoRedefine/>
    <w:uiPriority w:val="99"/>
    <w:qFormat/>
    <w:rsid w:val="00E37142"/>
    <w:pPr>
      <w:keepNext/>
      <w:spacing w:after="200"/>
      <w:contextualSpacing/>
      <w:jc w:val="both"/>
    </w:pPr>
    <w:rPr>
      <w:rFonts w:ascii="Calibri" w:eastAsia="Cambria" w:hAnsi="Calibri" w:cs="Times New Roman"/>
      <w:i/>
      <w:szCs w:val="22"/>
      <w:lang w:val="en-GB"/>
    </w:rPr>
  </w:style>
  <w:style w:type="table" w:styleId="LightGrid-Accent3">
    <w:name w:val="Light Grid Accent 3"/>
    <w:basedOn w:val="TableNormal"/>
    <w:uiPriority w:val="62"/>
    <w:rsid w:val="00E37142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181BC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181BC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A459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rsid w:val="00AA4597"/>
    <w:pPr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AA4597"/>
    <w:rPr>
      <w:rFonts w:ascii="Calibri" w:eastAsia="Times New Roman" w:hAnsi="Calibri"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45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bv.com/docs/reports-studies/nrel-cost-report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www.energy.ca.gov/2007publications/CEC-200-2007-011/CEC-200-2007-011-S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Shiraishi</dc:creator>
  <cp:keywords/>
  <dc:description/>
  <cp:lastModifiedBy>Kenji Shiraishi</cp:lastModifiedBy>
  <cp:revision>6</cp:revision>
  <cp:lastPrinted>2020-09-11T19:34:00Z</cp:lastPrinted>
  <dcterms:created xsi:type="dcterms:W3CDTF">2020-09-11T15:50:00Z</dcterms:created>
  <dcterms:modified xsi:type="dcterms:W3CDTF">2020-09-11T19:58:00Z</dcterms:modified>
</cp:coreProperties>
</file>