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CAE00" w14:textId="50C19C6C" w:rsidR="004E508A" w:rsidRPr="004E508A" w:rsidRDefault="00B36791" w:rsidP="004E508A">
      <w:r>
        <w:rPr>
          <w:noProof/>
        </w:rPr>
        <w:drawing>
          <wp:inline distT="0" distB="0" distL="0" distR="0" wp14:anchorId="0F44D8ED" wp14:editId="5F42A262">
            <wp:extent cx="2337435" cy="467487"/>
            <wp:effectExtent l="0" t="0" r="0" b="0"/>
            <wp:docPr id="1" name="Picture 1" descr="/Users/sarahkurtz/Downloads/171109_SOE_De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arahkurtz/Downloads/171109_SOE_Dep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2985" cy="478597"/>
                    </a:xfrm>
                    <a:prstGeom prst="rect">
                      <a:avLst/>
                    </a:prstGeom>
                    <a:noFill/>
                    <a:ln>
                      <a:noFill/>
                    </a:ln>
                  </pic:spPr>
                </pic:pic>
              </a:graphicData>
            </a:graphic>
          </wp:inline>
        </w:drawing>
      </w:r>
    </w:p>
    <w:p w14:paraId="145B7F99" w14:textId="6BB0E941" w:rsidR="00FD0A80" w:rsidRDefault="00FD0A80" w:rsidP="004E508A">
      <w:pPr>
        <w:rPr>
          <w:rFonts w:ascii="Arial" w:hAnsi="Arial" w:cs="Arial"/>
          <w:b/>
          <w:bCs/>
          <w:szCs w:val="22"/>
          <w:u w:val="single"/>
        </w:rPr>
      </w:pPr>
    </w:p>
    <w:p w14:paraId="4007EA32" w14:textId="34BA2173" w:rsidR="00C72676" w:rsidRDefault="00C72676" w:rsidP="00C72676">
      <w:pPr>
        <w:spacing w:after="200"/>
        <w:ind w:left="-14" w:right="58" w:firstLine="14"/>
        <w:jc w:val="right"/>
      </w:pPr>
      <w:r>
        <w:t xml:space="preserve">Date: Aug. </w:t>
      </w:r>
      <w:r w:rsidR="006E0C36">
        <w:t>21</w:t>
      </w:r>
      <w:r>
        <w:t xml:space="preserve">, 2020 </w:t>
      </w:r>
    </w:p>
    <w:p w14:paraId="7CF153D4" w14:textId="2C152D05" w:rsidR="00FE111D" w:rsidRDefault="006E0C36" w:rsidP="00C72676">
      <w:pPr>
        <w:spacing w:after="200"/>
        <w:ind w:right="58"/>
      </w:pPr>
      <w:r>
        <w:t>Dear Department of Energy Representatives,</w:t>
      </w:r>
    </w:p>
    <w:p w14:paraId="436CE22C" w14:textId="432D8528" w:rsidR="006E0C36" w:rsidRDefault="006E0C36" w:rsidP="00C72676">
      <w:pPr>
        <w:spacing w:after="200"/>
        <w:ind w:right="58"/>
      </w:pPr>
    </w:p>
    <w:p w14:paraId="445A1AD6" w14:textId="69707F9C" w:rsidR="006E0C36" w:rsidRDefault="006E0C36" w:rsidP="00C72676">
      <w:pPr>
        <w:spacing w:after="200"/>
        <w:ind w:right="58"/>
      </w:pPr>
      <w:r>
        <w:t>My team at the University of California Merced is working with researchers at UC Berkeley, UC San Diego, University of North Carolina</w:t>
      </w:r>
      <w:r w:rsidR="000D617C">
        <w:t>,</w:t>
      </w:r>
      <w:r>
        <w:t xml:space="preserve"> </w:t>
      </w:r>
      <w:r w:rsidR="000D617C">
        <w:t xml:space="preserve">Arizona State University, </w:t>
      </w:r>
      <w:r>
        <w:t xml:space="preserve">and elsewhere to study the value of long-duration storage under funding from the California Energy Commission. As is highlighted by the recent rolling blackouts in California, coupling solar and wind with robust storage systems will be important as grids move toward higher penetrations of renewable energy. </w:t>
      </w:r>
      <w:r w:rsidR="000C646D">
        <w:t>We’re</w:t>
      </w:r>
      <w:r>
        <w:t xml:space="preserve"> very pleased to see the Energy Department’s Energy Storage Grand Challenge because of this importance.</w:t>
      </w:r>
    </w:p>
    <w:p w14:paraId="61E405A9" w14:textId="11D5D98A" w:rsidR="006E0C36" w:rsidRDefault="001E44A1" w:rsidP="00C72676">
      <w:pPr>
        <w:spacing w:after="200"/>
        <w:ind w:right="58"/>
      </w:pPr>
      <w:r>
        <w:t>In particular, we would like to respond to these queries:</w:t>
      </w:r>
    </w:p>
    <w:p w14:paraId="7E525B32" w14:textId="77777777" w:rsidR="001E44A1" w:rsidRPr="001E44A1" w:rsidRDefault="001E44A1" w:rsidP="001E44A1">
      <w:pPr>
        <w:pStyle w:val="NormalWeb"/>
        <w:rPr>
          <w:color w:val="0070C0"/>
        </w:rPr>
      </w:pPr>
      <w:r w:rsidRPr="001E44A1">
        <w:rPr>
          <w:rFonts w:ascii="TimesNewRomanPSMT" w:hAnsi="TimesNewRomanPSMT"/>
          <w:color w:val="0070C0"/>
        </w:rPr>
        <w:t xml:space="preserve">D2.2 Metrics </w:t>
      </w:r>
    </w:p>
    <w:p w14:paraId="38819370" w14:textId="77777777" w:rsidR="001E44A1" w:rsidRPr="001E44A1" w:rsidRDefault="001E44A1" w:rsidP="001E44A1">
      <w:pPr>
        <w:pStyle w:val="NormalWeb"/>
        <w:rPr>
          <w:color w:val="0070C0"/>
        </w:rPr>
      </w:pPr>
      <w:r w:rsidRPr="001E44A1">
        <w:rPr>
          <w:rFonts w:ascii="TimesNewRomanPSMT" w:hAnsi="TimesNewRomanPSMT"/>
          <w:color w:val="0070C0"/>
        </w:rPr>
        <w:t xml:space="preserve">D.2.2.1 How can the Levelized Cost of Storage metric be further refined to compare costs across technologies? </w:t>
      </w:r>
    </w:p>
    <w:p w14:paraId="3C47ED42" w14:textId="1413D049" w:rsidR="000C5814" w:rsidRDefault="000C5814" w:rsidP="000C5814">
      <w:r>
        <w:t>The Levelized Cost of Storage (LCOS) needs to be refined depending on the application and the grid conditions. The paper by Schmidt, et al, (</w:t>
      </w:r>
      <w:hyperlink r:id="rId6" w:history="1">
        <w:r w:rsidRPr="00AB0E10">
          <w:rPr>
            <w:rStyle w:val="Hyperlink"/>
          </w:rPr>
          <w:t>https://doi.org/10.1016/j.joule.2018.12.008</w:t>
        </w:r>
      </w:hyperlink>
      <w:r>
        <w:t>) gives an example of how LCOS may be calculated for applications for different penetration levels, though their definitions are not necessarily the most relevant to U.S. grid situations.</w:t>
      </w:r>
    </w:p>
    <w:p w14:paraId="572A4DFF" w14:textId="0CFF0270" w:rsidR="000C5814" w:rsidRDefault="000C5814" w:rsidP="000C5814"/>
    <w:p w14:paraId="2E0D2B26" w14:textId="12DD5A44" w:rsidR="000C5814" w:rsidRDefault="000C5814" w:rsidP="000C5814">
      <w:r>
        <w:t>While the 12 applications described in the Schmidt paper give an example of how LCOS may be calculated, another way of defining the LCOS will benefit from considering the length of time between the charging and discharging of the storage:</w:t>
      </w:r>
    </w:p>
    <w:p w14:paraId="150DD0ED" w14:textId="2690776C" w:rsidR="000C5814" w:rsidRDefault="000C5814" w:rsidP="000C5814">
      <w:r>
        <w:t>• Same-day charge-discharge applications</w:t>
      </w:r>
    </w:p>
    <w:p w14:paraId="0F4233E4" w14:textId="6697E154" w:rsidR="000C5814" w:rsidRDefault="000C5814" w:rsidP="000C5814">
      <w:r>
        <w:t>• Cross-day charge-discharge applications</w:t>
      </w:r>
    </w:p>
    <w:p w14:paraId="6BAC3B37" w14:textId="6258D48B" w:rsidR="000C5814" w:rsidRDefault="000C5814" w:rsidP="000C5814">
      <w:r>
        <w:t>• Weekly timeframes</w:t>
      </w:r>
    </w:p>
    <w:p w14:paraId="4F8CC615" w14:textId="12F49EE6" w:rsidR="000C5814" w:rsidRDefault="000C5814" w:rsidP="000C5814">
      <w:r>
        <w:t xml:space="preserve">• Seasonal storage cycled one time or two times per year. </w:t>
      </w:r>
    </w:p>
    <w:p w14:paraId="4D808DF5" w14:textId="57D2D6E1" w:rsidR="00305A48" w:rsidRDefault="00305A48" w:rsidP="000C5814"/>
    <w:p w14:paraId="4E8A5EA3" w14:textId="2203D244" w:rsidR="00305A48" w:rsidRDefault="00305A48" w:rsidP="000C5814">
      <w:r>
        <w:t>When comparing technologies that may be implemented with different durations, it would be useful to calculate the LCOS as a marginal cost as a function of the duration (MWh/MW ratio).  For example, a storage facility could be installed one year with 100 MW and 1000 MWh of storage, then in a following year, could have another 1000 MWh of energy capacity installed without increasing the 100 MW power rating, and thus providing additional storage at a lower cost than if a whole new plant were built.</w:t>
      </w:r>
    </w:p>
    <w:p w14:paraId="5E01F658" w14:textId="77777777" w:rsidR="001E44A1" w:rsidRPr="001E44A1" w:rsidRDefault="001E44A1" w:rsidP="001E44A1">
      <w:pPr>
        <w:pStyle w:val="NormalWeb"/>
        <w:rPr>
          <w:color w:val="0070C0"/>
        </w:rPr>
      </w:pPr>
      <w:r w:rsidRPr="001E44A1">
        <w:rPr>
          <w:rFonts w:ascii="TimesNewRomanPSMT" w:hAnsi="TimesNewRomanPSMT"/>
          <w:color w:val="0070C0"/>
        </w:rPr>
        <w:lastRenderedPageBreak/>
        <w:t xml:space="preserve">D.2.2.2 What other metrics would assist measuring technology advancement, cost, and value to the end user? </w:t>
      </w:r>
    </w:p>
    <w:p w14:paraId="716B07D2" w14:textId="77777777" w:rsidR="000C646D" w:rsidRDefault="000C5814" w:rsidP="006E0C36">
      <w:r>
        <w:t xml:space="preserve">LCOS </w:t>
      </w:r>
      <w:r w:rsidR="000D617C">
        <w:t>is a metric that is useful for storage that is cycled frequently, but LCOS becomes less important as the storage resource is used more for grid reliability than for delivery of electricity. LCOS will depend on the frequency of use</w:t>
      </w:r>
      <w:r w:rsidR="007F30CE">
        <w:t>;</w:t>
      </w:r>
      <w:r w:rsidR="000D617C">
        <w:t xml:space="preserve"> not all storage resources will be cycled every day. Thus, </w:t>
      </w:r>
      <w:r w:rsidR="000C646D">
        <w:t>we</w:t>
      </w:r>
      <w:r w:rsidR="000D617C">
        <w:t xml:space="preserve"> suggest that, in addition to LCOS, </w:t>
      </w:r>
      <w:r w:rsidR="000C646D">
        <w:t>other</w:t>
      </w:r>
      <w:r w:rsidR="000D617C">
        <w:t xml:space="preserve"> metric</w:t>
      </w:r>
      <w:r w:rsidR="000C646D">
        <w:t>s</w:t>
      </w:r>
      <w:r w:rsidR="000D617C">
        <w:t xml:space="preserve"> should be developed that helps define the value for grid reliability. </w:t>
      </w:r>
    </w:p>
    <w:p w14:paraId="47F7291B" w14:textId="7F43B379" w:rsidR="000D617C" w:rsidRDefault="000D617C" w:rsidP="006E0C36">
      <w:r>
        <w:t xml:space="preserve">For </w:t>
      </w:r>
      <w:r w:rsidR="000C646D">
        <w:t>example, we could define a</w:t>
      </w:r>
      <w:r>
        <w:t xml:space="preserve"> </w:t>
      </w:r>
      <w:r w:rsidR="000C646D">
        <w:t>“</w:t>
      </w:r>
      <w:r w:rsidRPr="002B0E3C">
        <w:rPr>
          <w:b/>
          <w:bCs/>
        </w:rPr>
        <w:t>Cost of Reserve Increase</w:t>
      </w:r>
      <w:r w:rsidR="000C646D">
        <w:t>”</w:t>
      </w:r>
      <w:r>
        <w:t xml:space="preserve"> or </w:t>
      </w:r>
      <w:r w:rsidR="000C646D">
        <w:t>“</w:t>
      </w:r>
      <w:r>
        <w:t>CORI.</w:t>
      </w:r>
      <w:r w:rsidR="000C646D">
        <w:t>”</w:t>
      </w:r>
      <w:r>
        <w:t xml:space="preserve"> </w:t>
      </w:r>
      <w:r w:rsidR="000C646D">
        <w:t>We</w:t>
      </w:r>
      <w:r>
        <w:t xml:space="preserve"> first explain why it is important and then explain the strategy for defining it.</w:t>
      </w:r>
    </w:p>
    <w:p w14:paraId="0A00ADCC" w14:textId="03329E7F" w:rsidR="000D617C" w:rsidRDefault="000D617C" w:rsidP="006E0C36">
      <w:r>
        <w:t xml:space="preserve"> </w:t>
      </w:r>
    </w:p>
    <w:p w14:paraId="4FB6BC1E" w14:textId="6D493D66" w:rsidR="00DF5842" w:rsidRDefault="002B0E3C" w:rsidP="006E0C36">
      <w:r w:rsidRPr="002B0E3C">
        <w:rPr>
          <w:i/>
          <w:iCs/>
        </w:rPr>
        <w:t>Why CORI would be useful</w:t>
      </w:r>
      <w:r>
        <w:t xml:space="preserve">: </w:t>
      </w:r>
      <w:r w:rsidR="006E0C36">
        <w:t>As new resources are added to the grid (in response to increased demand or retirement of existing resources), the primary driver is typically meet</w:t>
      </w:r>
      <w:r w:rsidR="000D617C">
        <w:t>ing</w:t>
      </w:r>
      <w:r w:rsidR="006E0C36">
        <w:t xml:space="preserve"> the Planning Reserve Margin (PRM). </w:t>
      </w:r>
      <w:r w:rsidR="00DF5842">
        <w:t xml:space="preserve">Note that the rolling blackouts in California this past week were </w:t>
      </w:r>
      <w:r w:rsidR="000D617C">
        <w:t>initiated</w:t>
      </w:r>
      <w:r w:rsidR="00DF5842">
        <w:t xml:space="preserve"> when the reserve margin dropped below what CAISO considered to be a safe level. </w:t>
      </w:r>
      <w:r w:rsidR="000D617C">
        <w:t xml:space="preserve"> </w:t>
      </w:r>
      <w:r w:rsidR="000D617C" w:rsidRPr="004B4088">
        <w:rPr>
          <w:i/>
          <w:iCs/>
        </w:rPr>
        <w:t>Maintaining adequate reserve margin</w:t>
      </w:r>
      <w:r w:rsidR="000D617C">
        <w:t xml:space="preserve"> </w:t>
      </w:r>
      <w:r w:rsidR="004B4088">
        <w:t xml:space="preserve">(delivering electricity to the grid only in an emergency) </w:t>
      </w:r>
      <w:r w:rsidR="000D617C">
        <w:t>may be a key role of storage resources in the future</w:t>
      </w:r>
      <w:r w:rsidR="004B4088">
        <w:t xml:space="preserve">, much as </w:t>
      </w:r>
      <w:proofErr w:type="spellStart"/>
      <w:r w:rsidR="004B4088">
        <w:t>peaker</w:t>
      </w:r>
      <w:proofErr w:type="spellEnd"/>
      <w:r w:rsidR="004B4088">
        <w:t xml:space="preserve"> plants may be built and then sit idle most of the year</w:t>
      </w:r>
      <w:r w:rsidR="00464B8C">
        <w:t>.</w:t>
      </w:r>
    </w:p>
    <w:p w14:paraId="4531E1EA" w14:textId="77777777" w:rsidR="000D617C" w:rsidRDefault="000D617C" w:rsidP="006E0C36"/>
    <w:p w14:paraId="0FF42E68" w14:textId="6E3F2705" w:rsidR="00464B8C" w:rsidRDefault="00251432" w:rsidP="006E0C36">
      <w:r>
        <w:t xml:space="preserve">LCOS </w:t>
      </w:r>
      <w:r w:rsidR="000D617C">
        <w:t>will be</w:t>
      </w:r>
      <w:r>
        <w:t xml:space="preserve"> </w:t>
      </w:r>
      <w:r w:rsidR="004B4088">
        <w:t>most useful for</w:t>
      </w:r>
      <w:r>
        <w:t xml:space="preserve"> storage resources that are cycled hundreds of times per year</w:t>
      </w:r>
      <w:r w:rsidR="000D617C">
        <w:t>.</w:t>
      </w:r>
      <w:r>
        <w:t xml:space="preserve"> </w:t>
      </w:r>
      <w:r w:rsidR="00464B8C">
        <w:t>CORI will be</w:t>
      </w:r>
      <w:r>
        <w:t xml:space="preserve"> </w:t>
      </w:r>
      <w:r w:rsidR="004B4088">
        <w:t>useful</w:t>
      </w:r>
      <w:r>
        <w:t xml:space="preserve"> both to storage resources that are cycled only during times of high demand </w:t>
      </w:r>
      <w:r w:rsidRPr="00464B8C">
        <w:rPr>
          <w:i/>
          <w:iCs/>
        </w:rPr>
        <w:t xml:space="preserve">and to all storage resources </w:t>
      </w:r>
      <w:r>
        <w:t>to the extent that they are being built to meet the PRM. This latter point is, perhaps, subtle, but</w:t>
      </w:r>
      <w:r w:rsidR="00464B8C">
        <w:t xml:space="preserve"> is quite critical to the </w:t>
      </w:r>
      <w:r w:rsidR="004B4088">
        <w:t xml:space="preserve">rate of </w:t>
      </w:r>
      <w:r w:rsidR="00464B8C">
        <w:t xml:space="preserve">adoption of renewable </w:t>
      </w:r>
      <w:r w:rsidR="004B4088">
        <w:t>energy</w:t>
      </w:r>
      <w:r w:rsidR="00464B8C">
        <w:t>.</w:t>
      </w:r>
    </w:p>
    <w:p w14:paraId="77A83CCD" w14:textId="666A1D55" w:rsidR="00DF5842" w:rsidRDefault="00251432" w:rsidP="006E0C36">
      <w:r>
        <w:t xml:space="preserve"> </w:t>
      </w:r>
    </w:p>
    <w:p w14:paraId="481D5EEA" w14:textId="0EEA93CB" w:rsidR="00464B8C" w:rsidRDefault="006E0C36" w:rsidP="006E0C36">
      <w:r>
        <w:t xml:space="preserve">The addition of even a small amount of storage to a solar or wind plant can greatly increase the hybrid plant’s ability to contribute to the reserve. </w:t>
      </w:r>
      <w:r w:rsidR="006604A6">
        <w:t>A storage-less</w:t>
      </w:r>
      <w:r w:rsidR="00464B8C">
        <w:t xml:space="preserve"> solar or wind plant may not increase the reserve at all. If some storage is added, the solar or wind plant can now be counted towards the reserve</w:t>
      </w:r>
      <w:r w:rsidR="006604A6">
        <w:t xml:space="preserve"> as a fraction of the plant’s rated capacity.</w:t>
      </w:r>
      <w:r w:rsidR="00464B8C">
        <w:t xml:space="preserve"> </w:t>
      </w:r>
      <w:r w:rsidR="006604A6">
        <w:t>U</w:t>
      </w:r>
      <w:r w:rsidR="00464B8C">
        <w:t>tilities and Public Utility Commissions (PUCs)</w:t>
      </w:r>
      <w:r w:rsidR="006604A6">
        <w:t xml:space="preserve"> are already evaluating storage plus solar or wind plants in this way as they </w:t>
      </w:r>
      <w:r w:rsidR="00464B8C">
        <w:t>select resources to meet the PRM. The new metric “Cost of Reserve Increase” (CORI) in $/MW would be the cost of the storage divided by the increase in the MW that can be counted toward the reserve.</w:t>
      </w:r>
    </w:p>
    <w:p w14:paraId="058A203E" w14:textId="77777777" w:rsidR="00464B8C" w:rsidRDefault="00464B8C" w:rsidP="006E0C36"/>
    <w:p w14:paraId="0529A158" w14:textId="53E8099A" w:rsidR="00133712" w:rsidRDefault="002B0E3C" w:rsidP="006E0C36">
      <w:r w:rsidRPr="002B0E3C">
        <w:rPr>
          <w:i/>
          <w:iCs/>
        </w:rPr>
        <w:t xml:space="preserve">How CORI </w:t>
      </w:r>
      <w:r w:rsidRPr="002B0E3C">
        <w:rPr>
          <w:i/>
          <w:iCs/>
        </w:rPr>
        <w:t xml:space="preserve">could </w:t>
      </w:r>
      <w:r w:rsidRPr="002B0E3C">
        <w:rPr>
          <w:i/>
          <w:iCs/>
        </w:rPr>
        <w:t>be defined</w:t>
      </w:r>
      <w:r>
        <w:t xml:space="preserve">: </w:t>
      </w:r>
      <w:r w:rsidR="006E0C36">
        <w:t xml:space="preserve">Electricity Load Carrying Capacity (ELCC) is an example of a metric that is already used routinely by utilities and </w:t>
      </w:r>
      <w:r w:rsidR="00133712">
        <w:t xml:space="preserve">PUCs </w:t>
      </w:r>
      <w:r w:rsidR="006E0C36">
        <w:t xml:space="preserve">to evaluate the PRM and select the lowest cost approach to maintaining the desired PRM. Unfortunately, the ELCC depends on the difference between the local load and generation profiles, so one may be hesitant to attempt to use this metric to characterize progress with a technology. However, </w:t>
      </w:r>
      <w:r w:rsidR="00133712">
        <w:t>LCOS also depends on many</w:t>
      </w:r>
      <w:r w:rsidR="006E0C36">
        <w:t xml:space="preserve"> assumptions, so </w:t>
      </w:r>
      <w:r w:rsidR="00133712">
        <w:t>both require definition of</w:t>
      </w:r>
      <w:r w:rsidR="006E0C36">
        <w:t xml:space="preserve"> representative scenarios. </w:t>
      </w:r>
    </w:p>
    <w:p w14:paraId="323FB88C" w14:textId="77777777" w:rsidR="00133712" w:rsidRDefault="00133712" w:rsidP="006E0C36"/>
    <w:p w14:paraId="4A9CF4E4" w14:textId="2524B1F0" w:rsidR="006E0C36" w:rsidRDefault="00133712" w:rsidP="006E0C36">
      <w:r>
        <w:t>For CORI, i</w:t>
      </w:r>
      <w:r w:rsidR="006E0C36">
        <w:t>t will be desirable to consider representative situations</w:t>
      </w:r>
      <w:r w:rsidR="000B1727">
        <w:t>. For example, for short-duration storage one might choose</w:t>
      </w:r>
      <w:r w:rsidR="006E0C36">
        <w:t xml:space="preserve"> 2-4 hours of storage paired with a solar plant when the peak demand during the year occurs on a hot, sunny day. </w:t>
      </w:r>
      <w:r w:rsidR="000B1727">
        <w:t xml:space="preserve">For long-duration storage, a plausible standard scenario could be a storage asset that is charged by solar or wind on one day and then </w:t>
      </w:r>
      <w:r w:rsidR="000B1727">
        <w:lastRenderedPageBreak/>
        <w:t>used to meet a peak load throughout a following day when that day is selected to be both cloudy and windless.</w:t>
      </w:r>
    </w:p>
    <w:p w14:paraId="0BCAFFAF" w14:textId="05BF9898" w:rsidR="000B1727" w:rsidRDefault="000B1727" w:rsidP="006E0C36"/>
    <w:p w14:paraId="224DC5A7" w14:textId="07C544FF" w:rsidR="000B1727" w:rsidRDefault="000B1727" w:rsidP="006E0C36">
      <w:r>
        <w:t>Identifying standardized scenarios for the LCOS and the CORI at multiple penetration levels of solar, wind, and storage will all require modeling and would be a valuable research project for the Energy Department to support.</w:t>
      </w:r>
      <w:r w:rsidR="006604A6">
        <w:t xml:space="preserve"> </w:t>
      </w:r>
    </w:p>
    <w:p w14:paraId="35F49B44" w14:textId="03F55520" w:rsidR="002B0E3C" w:rsidRDefault="002B0E3C" w:rsidP="006E0C36"/>
    <w:p w14:paraId="75CF62CC" w14:textId="4EA3C93E" w:rsidR="002B0E3C" w:rsidRDefault="002B0E3C" w:rsidP="006E0C36">
      <w:r w:rsidRPr="002B0E3C">
        <w:rPr>
          <w:b/>
          <w:bCs/>
        </w:rPr>
        <w:t xml:space="preserve">Acceptable </w:t>
      </w:r>
      <w:r w:rsidR="0085674B">
        <w:rPr>
          <w:b/>
          <w:bCs/>
        </w:rPr>
        <w:t>reserve</w:t>
      </w:r>
      <w:r w:rsidRPr="002B0E3C">
        <w:rPr>
          <w:b/>
          <w:bCs/>
        </w:rPr>
        <w:t xml:space="preserve"> margin</w:t>
      </w:r>
      <w:r>
        <w:t xml:space="preserve">: When California began rolling black outs last week, they still had 6% reserve. Some analysts suggest that other grids operate safely with </w:t>
      </w:r>
      <w:r w:rsidR="0085674B">
        <w:t xml:space="preserve">a </w:t>
      </w:r>
      <w:r>
        <w:t>smaller reserve. One may expect that the needed reserve for safe operation may be greater for a solar</w:t>
      </w:r>
      <w:r w:rsidR="0085674B">
        <w:t>-</w:t>
      </w:r>
      <w:r>
        <w:t xml:space="preserve"> and wind</w:t>
      </w:r>
      <w:r w:rsidR="0085674B">
        <w:t>-</w:t>
      </w:r>
      <w:r>
        <w:t xml:space="preserve">driven grid. If </w:t>
      </w:r>
      <w:r w:rsidR="00305A48">
        <w:t>storage demonstrates very high reliability</w:t>
      </w:r>
      <w:r w:rsidR="0085674B">
        <w:t xml:space="preserve"> and represents a larger fraction of the </w:t>
      </w:r>
      <w:r w:rsidR="006C41C3">
        <w:t>grid’s capacity</w:t>
      </w:r>
      <w:r w:rsidR="00305A48">
        <w:t>, it may enable the grid to operate safely with a smaller reserve. As noted in the above, this is not a metric that is uniquely linked to a technology, but within a given grid scenario, it could be assessed  for a given technology.</w:t>
      </w:r>
    </w:p>
    <w:p w14:paraId="6E610958" w14:textId="1BB06969" w:rsidR="00305A48" w:rsidRDefault="00305A48" w:rsidP="006E0C36"/>
    <w:p w14:paraId="59C89F1C" w14:textId="45027792" w:rsidR="00305A48" w:rsidRDefault="00305A48" w:rsidP="006E0C36">
      <w:r w:rsidRPr="00305A48">
        <w:rPr>
          <w:b/>
          <w:bCs/>
        </w:rPr>
        <w:t>Overall electricity cost</w:t>
      </w:r>
      <w:r>
        <w:t xml:space="preserve">: Again, this is not a metric that is uniquely linked to a technology, but </w:t>
      </w:r>
      <w:r w:rsidR="00D42939">
        <w:t xml:space="preserve">the total cost of running the grid </w:t>
      </w:r>
      <w:r>
        <w:t>can be used to compare two technologies in similar scenarios</w:t>
      </w:r>
      <w:r w:rsidR="00D42939">
        <w:t xml:space="preserve">, capturing the </w:t>
      </w:r>
      <w:r w:rsidR="00A022EA">
        <w:t>cost not only of operating the storage but of operating the rest of the grid as well</w:t>
      </w:r>
      <w:r>
        <w:t>.</w:t>
      </w:r>
    </w:p>
    <w:p w14:paraId="026BBA21" w14:textId="77777777" w:rsidR="006E0C36" w:rsidRDefault="006E0C36" w:rsidP="006E0C36"/>
    <w:p w14:paraId="69CF2C72" w14:textId="77777777" w:rsidR="006E0C36" w:rsidRDefault="006E0C36" w:rsidP="006E0C36"/>
    <w:p w14:paraId="15E74118" w14:textId="77777777" w:rsidR="006E0C36" w:rsidRPr="00405245" w:rsidRDefault="006E0C36" w:rsidP="00C72676">
      <w:pPr>
        <w:spacing w:after="200"/>
        <w:ind w:right="58"/>
        <w:rPr>
          <w:rFonts w:ascii="Arial" w:hAnsi="Arial" w:cs="Arial"/>
          <w:b/>
          <w:bCs/>
          <w:szCs w:val="22"/>
          <w:u w:val="single"/>
        </w:rPr>
      </w:pPr>
    </w:p>
    <w:sectPr w:rsidR="006E0C36" w:rsidRPr="00405245" w:rsidSect="00D50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A5846"/>
    <w:multiLevelType w:val="hybridMultilevel"/>
    <w:tmpl w:val="666A59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2751D9"/>
    <w:multiLevelType w:val="hybridMultilevel"/>
    <w:tmpl w:val="E9EC838A"/>
    <w:lvl w:ilvl="0" w:tplc="2A6A6D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791"/>
    <w:rsid w:val="00092BD9"/>
    <w:rsid w:val="000A33BF"/>
    <w:rsid w:val="000B01D7"/>
    <w:rsid w:val="000B0D3F"/>
    <w:rsid w:val="000B1727"/>
    <w:rsid w:val="000C5814"/>
    <w:rsid w:val="000C646D"/>
    <w:rsid w:val="000D425B"/>
    <w:rsid w:val="000D617C"/>
    <w:rsid w:val="000E5258"/>
    <w:rsid w:val="00125BBD"/>
    <w:rsid w:val="00133712"/>
    <w:rsid w:val="00192760"/>
    <w:rsid w:val="001E44A1"/>
    <w:rsid w:val="001F37BB"/>
    <w:rsid w:val="0020714D"/>
    <w:rsid w:val="002300FC"/>
    <w:rsid w:val="00251432"/>
    <w:rsid w:val="002B0E3C"/>
    <w:rsid w:val="00305A48"/>
    <w:rsid w:val="00321885"/>
    <w:rsid w:val="00327694"/>
    <w:rsid w:val="00384D0C"/>
    <w:rsid w:val="00405245"/>
    <w:rsid w:val="0041443D"/>
    <w:rsid w:val="0046370F"/>
    <w:rsid w:val="00464B8C"/>
    <w:rsid w:val="00483FBE"/>
    <w:rsid w:val="004A6F46"/>
    <w:rsid w:val="004B4088"/>
    <w:rsid w:val="004D270E"/>
    <w:rsid w:val="004E508A"/>
    <w:rsid w:val="00501E5C"/>
    <w:rsid w:val="006604A6"/>
    <w:rsid w:val="00676B6A"/>
    <w:rsid w:val="006C41C3"/>
    <w:rsid w:val="006E0C36"/>
    <w:rsid w:val="00710802"/>
    <w:rsid w:val="00745457"/>
    <w:rsid w:val="00747F48"/>
    <w:rsid w:val="0075286D"/>
    <w:rsid w:val="00764244"/>
    <w:rsid w:val="00784E64"/>
    <w:rsid w:val="007A3634"/>
    <w:rsid w:val="007D3E26"/>
    <w:rsid w:val="007F30CE"/>
    <w:rsid w:val="0085674B"/>
    <w:rsid w:val="00883756"/>
    <w:rsid w:val="008F0BF5"/>
    <w:rsid w:val="008F740F"/>
    <w:rsid w:val="009239A8"/>
    <w:rsid w:val="00955A07"/>
    <w:rsid w:val="00960519"/>
    <w:rsid w:val="009B5AB8"/>
    <w:rsid w:val="00A022EA"/>
    <w:rsid w:val="00A2591A"/>
    <w:rsid w:val="00AB1FF6"/>
    <w:rsid w:val="00AE3FE1"/>
    <w:rsid w:val="00B01F2B"/>
    <w:rsid w:val="00B36791"/>
    <w:rsid w:val="00B5411D"/>
    <w:rsid w:val="00BB5310"/>
    <w:rsid w:val="00BD217B"/>
    <w:rsid w:val="00C67307"/>
    <w:rsid w:val="00C72676"/>
    <w:rsid w:val="00CE02BB"/>
    <w:rsid w:val="00CE67AD"/>
    <w:rsid w:val="00D03644"/>
    <w:rsid w:val="00D42939"/>
    <w:rsid w:val="00D50AC4"/>
    <w:rsid w:val="00DF5842"/>
    <w:rsid w:val="00E12FD6"/>
    <w:rsid w:val="00E96098"/>
    <w:rsid w:val="00EA6475"/>
    <w:rsid w:val="00EC19A5"/>
    <w:rsid w:val="00ED21A4"/>
    <w:rsid w:val="00FD0A80"/>
    <w:rsid w:val="00FE111D"/>
    <w:rsid w:val="00FE3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748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E508A"/>
    <w:pPr>
      <w:widowControl w:val="0"/>
      <w:jc w:val="both"/>
    </w:pPr>
    <w:rPr>
      <w:rFonts w:ascii="Times New Roman" w:eastAsia="SimSun" w:hAnsi="Times New Roman" w:cs="Times New Roman"/>
      <w:kern w:val="2"/>
      <w:lang w:eastAsia="zh-CN"/>
    </w:rPr>
  </w:style>
  <w:style w:type="character" w:customStyle="1" w:styleId="BodyTextChar">
    <w:name w:val="Body Text Char"/>
    <w:basedOn w:val="DefaultParagraphFont"/>
    <w:link w:val="BodyText"/>
    <w:rsid w:val="004E508A"/>
    <w:rPr>
      <w:rFonts w:ascii="Times New Roman" w:eastAsia="SimSun" w:hAnsi="Times New Roman" w:cs="Times New Roman"/>
      <w:kern w:val="2"/>
      <w:lang w:eastAsia="zh-CN"/>
    </w:rPr>
  </w:style>
  <w:style w:type="character" w:customStyle="1" w:styleId="spelle">
    <w:name w:val="spelle"/>
    <w:basedOn w:val="DefaultParagraphFont"/>
    <w:rsid w:val="004E508A"/>
  </w:style>
  <w:style w:type="character" w:styleId="Strong">
    <w:name w:val="Strong"/>
    <w:uiPriority w:val="22"/>
    <w:qFormat/>
    <w:rsid w:val="004E508A"/>
    <w:rPr>
      <w:b/>
      <w:bCs/>
    </w:rPr>
  </w:style>
  <w:style w:type="paragraph" w:customStyle="1" w:styleId="SignatureCompany">
    <w:name w:val="Signature Company"/>
    <w:basedOn w:val="Signature"/>
    <w:rsid w:val="004E508A"/>
    <w:pPr>
      <w:suppressAutoHyphens/>
      <w:ind w:left="0" w:firstLine="1"/>
    </w:pPr>
    <w:rPr>
      <w:rFonts w:ascii="Times New Roman" w:eastAsia="Times New Roman" w:hAnsi="Times New Roman" w:cs="Times New Roman"/>
      <w:sz w:val="20"/>
      <w:szCs w:val="20"/>
      <w:lang w:val="x-none"/>
    </w:rPr>
  </w:style>
  <w:style w:type="character" w:styleId="Hyperlink">
    <w:name w:val="Hyperlink"/>
    <w:rsid w:val="004E508A"/>
    <w:rPr>
      <w:color w:val="0000FF"/>
      <w:u w:val="single"/>
    </w:rPr>
  </w:style>
  <w:style w:type="paragraph" w:styleId="Signature">
    <w:name w:val="Signature"/>
    <w:basedOn w:val="Normal"/>
    <w:link w:val="SignatureChar"/>
    <w:uiPriority w:val="99"/>
    <w:semiHidden/>
    <w:unhideWhenUsed/>
    <w:rsid w:val="004E508A"/>
    <w:pPr>
      <w:ind w:left="4320"/>
    </w:pPr>
  </w:style>
  <w:style w:type="character" w:customStyle="1" w:styleId="SignatureChar">
    <w:name w:val="Signature Char"/>
    <w:basedOn w:val="DefaultParagraphFont"/>
    <w:link w:val="Signature"/>
    <w:uiPriority w:val="99"/>
    <w:semiHidden/>
    <w:rsid w:val="004E508A"/>
  </w:style>
  <w:style w:type="paragraph" w:styleId="DocumentMap">
    <w:name w:val="Document Map"/>
    <w:basedOn w:val="Normal"/>
    <w:link w:val="DocumentMapChar"/>
    <w:uiPriority w:val="99"/>
    <w:semiHidden/>
    <w:unhideWhenUsed/>
    <w:rsid w:val="004E508A"/>
    <w:rPr>
      <w:rFonts w:ascii="Times New Roman" w:hAnsi="Times New Roman" w:cs="Times New Roman"/>
    </w:rPr>
  </w:style>
  <w:style w:type="character" w:customStyle="1" w:styleId="DocumentMapChar">
    <w:name w:val="Document Map Char"/>
    <w:basedOn w:val="DefaultParagraphFont"/>
    <w:link w:val="DocumentMap"/>
    <w:uiPriority w:val="99"/>
    <w:semiHidden/>
    <w:rsid w:val="004E508A"/>
    <w:rPr>
      <w:rFonts w:ascii="Times New Roman" w:hAnsi="Times New Roman" w:cs="Times New Roman"/>
    </w:rPr>
  </w:style>
  <w:style w:type="paragraph" w:styleId="BalloonText">
    <w:name w:val="Balloon Text"/>
    <w:basedOn w:val="Normal"/>
    <w:link w:val="BalloonTextChar"/>
    <w:uiPriority w:val="99"/>
    <w:semiHidden/>
    <w:unhideWhenUsed/>
    <w:rsid w:val="00FE111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111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25BBD"/>
    <w:rPr>
      <w:sz w:val="16"/>
      <w:szCs w:val="16"/>
    </w:rPr>
  </w:style>
  <w:style w:type="paragraph" w:styleId="CommentText">
    <w:name w:val="annotation text"/>
    <w:basedOn w:val="Normal"/>
    <w:link w:val="CommentTextChar"/>
    <w:uiPriority w:val="99"/>
    <w:semiHidden/>
    <w:unhideWhenUsed/>
    <w:rsid w:val="00125BBD"/>
    <w:rPr>
      <w:sz w:val="20"/>
      <w:szCs w:val="20"/>
    </w:rPr>
  </w:style>
  <w:style w:type="character" w:customStyle="1" w:styleId="CommentTextChar">
    <w:name w:val="Comment Text Char"/>
    <w:basedOn w:val="DefaultParagraphFont"/>
    <w:link w:val="CommentText"/>
    <w:uiPriority w:val="99"/>
    <w:semiHidden/>
    <w:rsid w:val="00125BBD"/>
    <w:rPr>
      <w:sz w:val="20"/>
      <w:szCs w:val="20"/>
    </w:rPr>
  </w:style>
  <w:style w:type="paragraph" w:styleId="CommentSubject">
    <w:name w:val="annotation subject"/>
    <w:basedOn w:val="CommentText"/>
    <w:next w:val="CommentText"/>
    <w:link w:val="CommentSubjectChar"/>
    <w:uiPriority w:val="99"/>
    <w:semiHidden/>
    <w:unhideWhenUsed/>
    <w:rsid w:val="00125BBD"/>
    <w:rPr>
      <w:b/>
      <w:bCs/>
    </w:rPr>
  </w:style>
  <w:style w:type="character" w:customStyle="1" w:styleId="CommentSubjectChar">
    <w:name w:val="Comment Subject Char"/>
    <w:basedOn w:val="CommentTextChar"/>
    <w:link w:val="CommentSubject"/>
    <w:uiPriority w:val="99"/>
    <w:semiHidden/>
    <w:rsid w:val="00125BBD"/>
    <w:rPr>
      <w:b/>
      <w:bCs/>
      <w:sz w:val="20"/>
      <w:szCs w:val="20"/>
    </w:rPr>
  </w:style>
  <w:style w:type="paragraph" w:styleId="NormalWeb">
    <w:name w:val="Normal (Web)"/>
    <w:basedOn w:val="Normal"/>
    <w:uiPriority w:val="99"/>
    <w:semiHidden/>
    <w:unhideWhenUsed/>
    <w:rsid w:val="001E44A1"/>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1E4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138426">
      <w:bodyDiv w:val="1"/>
      <w:marLeft w:val="0"/>
      <w:marRight w:val="0"/>
      <w:marTop w:val="0"/>
      <w:marBottom w:val="0"/>
      <w:divBdr>
        <w:top w:val="none" w:sz="0" w:space="0" w:color="auto"/>
        <w:left w:val="none" w:sz="0" w:space="0" w:color="auto"/>
        <w:bottom w:val="none" w:sz="0" w:space="0" w:color="auto"/>
        <w:right w:val="none" w:sz="0" w:space="0" w:color="auto"/>
      </w:divBdr>
      <w:divsChild>
        <w:div w:id="1599212108">
          <w:marLeft w:val="0"/>
          <w:marRight w:val="0"/>
          <w:marTop w:val="0"/>
          <w:marBottom w:val="0"/>
          <w:divBdr>
            <w:top w:val="none" w:sz="0" w:space="0" w:color="auto"/>
            <w:left w:val="none" w:sz="0" w:space="0" w:color="auto"/>
            <w:bottom w:val="none" w:sz="0" w:space="0" w:color="auto"/>
            <w:right w:val="none" w:sz="0" w:space="0" w:color="auto"/>
          </w:divBdr>
          <w:divsChild>
            <w:div w:id="55516791">
              <w:marLeft w:val="0"/>
              <w:marRight w:val="0"/>
              <w:marTop w:val="0"/>
              <w:marBottom w:val="0"/>
              <w:divBdr>
                <w:top w:val="none" w:sz="0" w:space="0" w:color="auto"/>
                <w:left w:val="none" w:sz="0" w:space="0" w:color="auto"/>
                <w:bottom w:val="none" w:sz="0" w:space="0" w:color="auto"/>
                <w:right w:val="none" w:sz="0" w:space="0" w:color="auto"/>
              </w:divBdr>
              <w:divsChild>
                <w:div w:id="1106192570">
                  <w:marLeft w:val="0"/>
                  <w:marRight w:val="0"/>
                  <w:marTop w:val="0"/>
                  <w:marBottom w:val="0"/>
                  <w:divBdr>
                    <w:top w:val="none" w:sz="0" w:space="0" w:color="auto"/>
                    <w:left w:val="none" w:sz="0" w:space="0" w:color="auto"/>
                    <w:bottom w:val="none" w:sz="0" w:space="0" w:color="auto"/>
                    <w:right w:val="none" w:sz="0" w:space="0" w:color="auto"/>
                  </w:divBdr>
                  <w:divsChild>
                    <w:div w:id="13856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866636">
      <w:bodyDiv w:val="1"/>
      <w:marLeft w:val="0"/>
      <w:marRight w:val="0"/>
      <w:marTop w:val="0"/>
      <w:marBottom w:val="0"/>
      <w:divBdr>
        <w:top w:val="none" w:sz="0" w:space="0" w:color="auto"/>
        <w:left w:val="none" w:sz="0" w:space="0" w:color="auto"/>
        <w:bottom w:val="none" w:sz="0" w:space="0" w:color="auto"/>
        <w:right w:val="none" w:sz="0" w:space="0" w:color="auto"/>
      </w:divBdr>
      <w:divsChild>
        <w:div w:id="1090660348">
          <w:marLeft w:val="0"/>
          <w:marRight w:val="0"/>
          <w:marTop w:val="0"/>
          <w:marBottom w:val="0"/>
          <w:divBdr>
            <w:top w:val="none" w:sz="0" w:space="0" w:color="auto"/>
            <w:left w:val="none" w:sz="0" w:space="0" w:color="auto"/>
            <w:bottom w:val="none" w:sz="0" w:space="0" w:color="auto"/>
            <w:right w:val="none" w:sz="0" w:space="0" w:color="auto"/>
          </w:divBdr>
          <w:divsChild>
            <w:div w:id="2066682379">
              <w:marLeft w:val="0"/>
              <w:marRight w:val="0"/>
              <w:marTop w:val="0"/>
              <w:marBottom w:val="0"/>
              <w:divBdr>
                <w:top w:val="none" w:sz="0" w:space="0" w:color="auto"/>
                <w:left w:val="none" w:sz="0" w:space="0" w:color="auto"/>
                <w:bottom w:val="none" w:sz="0" w:space="0" w:color="auto"/>
                <w:right w:val="none" w:sz="0" w:space="0" w:color="auto"/>
              </w:divBdr>
              <w:divsChild>
                <w:div w:id="734475791">
                  <w:marLeft w:val="0"/>
                  <w:marRight w:val="0"/>
                  <w:marTop w:val="0"/>
                  <w:marBottom w:val="0"/>
                  <w:divBdr>
                    <w:top w:val="none" w:sz="0" w:space="0" w:color="auto"/>
                    <w:left w:val="none" w:sz="0" w:space="0" w:color="auto"/>
                    <w:bottom w:val="none" w:sz="0" w:space="0" w:color="auto"/>
                    <w:right w:val="none" w:sz="0" w:space="0" w:color="auto"/>
                  </w:divBdr>
                  <w:divsChild>
                    <w:div w:id="1776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319954">
      <w:bodyDiv w:val="1"/>
      <w:marLeft w:val="0"/>
      <w:marRight w:val="0"/>
      <w:marTop w:val="0"/>
      <w:marBottom w:val="0"/>
      <w:divBdr>
        <w:top w:val="none" w:sz="0" w:space="0" w:color="auto"/>
        <w:left w:val="none" w:sz="0" w:space="0" w:color="auto"/>
        <w:bottom w:val="none" w:sz="0" w:space="0" w:color="auto"/>
        <w:right w:val="none" w:sz="0" w:space="0" w:color="auto"/>
      </w:divBdr>
      <w:divsChild>
        <w:div w:id="1473986718">
          <w:marLeft w:val="0"/>
          <w:marRight w:val="0"/>
          <w:marTop w:val="0"/>
          <w:marBottom w:val="0"/>
          <w:divBdr>
            <w:top w:val="none" w:sz="0" w:space="0" w:color="auto"/>
            <w:left w:val="none" w:sz="0" w:space="0" w:color="auto"/>
            <w:bottom w:val="none" w:sz="0" w:space="0" w:color="auto"/>
            <w:right w:val="none" w:sz="0" w:space="0" w:color="auto"/>
          </w:divBdr>
          <w:divsChild>
            <w:div w:id="986400632">
              <w:marLeft w:val="0"/>
              <w:marRight w:val="0"/>
              <w:marTop w:val="0"/>
              <w:marBottom w:val="0"/>
              <w:divBdr>
                <w:top w:val="none" w:sz="0" w:space="0" w:color="auto"/>
                <w:left w:val="none" w:sz="0" w:space="0" w:color="auto"/>
                <w:bottom w:val="none" w:sz="0" w:space="0" w:color="auto"/>
                <w:right w:val="none" w:sz="0" w:space="0" w:color="auto"/>
              </w:divBdr>
              <w:divsChild>
                <w:div w:id="11655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57130">
      <w:bodyDiv w:val="1"/>
      <w:marLeft w:val="0"/>
      <w:marRight w:val="0"/>
      <w:marTop w:val="0"/>
      <w:marBottom w:val="0"/>
      <w:divBdr>
        <w:top w:val="none" w:sz="0" w:space="0" w:color="auto"/>
        <w:left w:val="none" w:sz="0" w:space="0" w:color="auto"/>
        <w:bottom w:val="none" w:sz="0" w:space="0" w:color="auto"/>
        <w:right w:val="none" w:sz="0" w:space="0" w:color="auto"/>
      </w:divBdr>
      <w:divsChild>
        <w:div w:id="306513425">
          <w:marLeft w:val="0"/>
          <w:marRight w:val="0"/>
          <w:marTop w:val="0"/>
          <w:marBottom w:val="0"/>
          <w:divBdr>
            <w:top w:val="none" w:sz="0" w:space="0" w:color="auto"/>
            <w:left w:val="none" w:sz="0" w:space="0" w:color="auto"/>
            <w:bottom w:val="none" w:sz="0" w:space="0" w:color="auto"/>
            <w:right w:val="none" w:sz="0" w:space="0" w:color="auto"/>
          </w:divBdr>
          <w:divsChild>
            <w:div w:id="12540965">
              <w:marLeft w:val="0"/>
              <w:marRight w:val="0"/>
              <w:marTop w:val="0"/>
              <w:marBottom w:val="0"/>
              <w:divBdr>
                <w:top w:val="none" w:sz="0" w:space="0" w:color="auto"/>
                <w:left w:val="none" w:sz="0" w:space="0" w:color="auto"/>
                <w:bottom w:val="none" w:sz="0" w:space="0" w:color="auto"/>
                <w:right w:val="none" w:sz="0" w:space="0" w:color="auto"/>
              </w:divBdr>
              <w:divsChild>
                <w:div w:id="11160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51502">
      <w:bodyDiv w:val="1"/>
      <w:marLeft w:val="0"/>
      <w:marRight w:val="0"/>
      <w:marTop w:val="0"/>
      <w:marBottom w:val="0"/>
      <w:divBdr>
        <w:top w:val="none" w:sz="0" w:space="0" w:color="auto"/>
        <w:left w:val="none" w:sz="0" w:space="0" w:color="auto"/>
        <w:bottom w:val="none" w:sz="0" w:space="0" w:color="auto"/>
        <w:right w:val="none" w:sz="0" w:space="0" w:color="auto"/>
      </w:divBdr>
      <w:divsChild>
        <w:div w:id="1205632411">
          <w:marLeft w:val="0"/>
          <w:marRight w:val="0"/>
          <w:marTop w:val="0"/>
          <w:marBottom w:val="0"/>
          <w:divBdr>
            <w:top w:val="none" w:sz="0" w:space="0" w:color="auto"/>
            <w:left w:val="none" w:sz="0" w:space="0" w:color="auto"/>
            <w:bottom w:val="none" w:sz="0" w:space="0" w:color="auto"/>
            <w:right w:val="none" w:sz="0" w:space="0" w:color="auto"/>
          </w:divBdr>
          <w:divsChild>
            <w:div w:id="2122843472">
              <w:marLeft w:val="0"/>
              <w:marRight w:val="0"/>
              <w:marTop w:val="0"/>
              <w:marBottom w:val="0"/>
              <w:divBdr>
                <w:top w:val="none" w:sz="0" w:space="0" w:color="auto"/>
                <w:left w:val="none" w:sz="0" w:space="0" w:color="auto"/>
                <w:bottom w:val="none" w:sz="0" w:space="0" w:color="auto"/>
                <w:right w:val="none" w:sz="0" w:space="0" w:color="auto"/>
              </w:divBdr>
              <w:divsChild>
                <w:div w:id="7214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joule.2018.12.00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Kurtz</dc:creator>
  <cp:keywords/>
  <dc:description/>
  <cp:lastModifiedBy>Sarah Kurtz</cp:lastModifiedBy>
  <cp:revision>11</cp:revision>
  <dcterms:created xsi:type="dcterms:W3CDTF">2020-08-22T04:14:00Z</dcterms:created>
  <dcterms:modified xsi:type="dcterms:W3CDTF">2020-08-26T06:25:00Z</dcterms:modified>
</cp:coreProperties>
</file>